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260" w:firstLineChars="600"/>
        <w:rPr>
          <w:rFonts w:ascii="Times New Roman" w:hAnsi="Times New Roman" w:cs="Times New Roman"/>
          <w:color w:val="FF0000"/>
          <w:sz w:val="30"/>
          <w:szCs w:val="30"/>
        </w:rPr>
      </w:pPr>
      <w:r>
        <w:rPr>
          <w:rFonts w:ascii="Times New Roman" w:hAnsi="Times New Roman" w:cs="Times New Roman"/>
        </w:rPr>
        <w:drawing>
          <wp:anchor distT="0" distB="0" distL="114300" distR="114300" simplePos="0" relativeHeight="251659264" behindDoc="1" locked="0" layoutInCell="1" allowOverlap="1">
            <wp:simplePos x="0" y="0"/>
            <wp:positionH relativeFrom="column">
              <wp:posOffset>-1129665</wp:posOffset>
            </wp:positionH>
            <wp:positionV relativeFrom="page">
              <wp:posOffset>121920</wp:posOffset>
            </wp:positionV>
            <wp:extent cx="7762240" cy="10652125"/>
            <wp:effectExtent l="0" t="0" r="0" b="0"/>
            <wp:wrapNone/>
            <wp:docPr id="27" name="图片 27" descr="教学质量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教学质量简报"/>
                    <pic:cNvPicPr>
                      <a:picLocks noChangeAspect="1"/>
                    </pic:cNvPicPr>
                  </pic:nvPicPr>
                  <pic:blipFill>
                    <a:blip r:embed="rId4" cstate="print"/>
                    <a:stretch>
                      <a:fillRect/>
                    </a:stretch>
                  </pic:blipFill>
                  <pic:spPr>
                    <a:xfrm>
                      <a:off x="0" y="0"/>
                      <a:ext cx="7762433" cy="10651851"/>
                    </a:xfrm>
                    <a:prstGeom prst="rect">
                      <a:avLst/>
                    </a:prstGeom>
                  </pic:spPr>
                </pic:pic>
              </a:graphicData>
            </a:graphic>
          </wp:anchor>
        </w:drawing>
      </w:r>
    </w:p>
    <w:p>
      <w:pPr>
        <w:ind w:firstLine="1800" w:firstLineChars="600"/>
        <w:rPr>
          <w:rFonts w:ascii="Times New Roman" w:hAnsi="Times New Roman" w:cs="Times New Roman"/>
          <w:color w:val="FF0000"/>
          <w:sz w:val="30"/>
          <w:szCs w:val="30"/>
        </w:rPr>
      </w:pPr>
    </w:p>
    <w:p>
      <w:pPr>
        <w:ind w:firstLine="4140" w:firstLineChars="1150"/>
        <w:rPr>
          <w:rFonts w:ascii="Times New Roman" w:hAnsi="Times New Roman" w:cs="Times New Roman"/>
          <w:color w:val="FF0000"/>
          <w:sz w:val="36"/>
          <w:szCs w:val="36"/>
        </w:rPr>
      </w:pPr>
    </w:p>
    <w:p>
      <w:pPr>
        <w:ind w:firstLine="4140" w:firstLineChars="1150"/>
        <w:rPr>
          <w:rFonts w:ascii="Times New Roman" w:hAnsi="Times New Roman" w:cs="Times New Roman"/>
          <w:color w:val="FF0000"/>
          <w:sz w:val="36"/>
          <w:szCs w:val="36"/>
        </w:rPr>
      </w:pPr>
    </w:p>
    <w:p>
      <w:pPr>
        <w:ind w:firstLine="2880" w:firstLineChars="400"/>
        <w:rPr>
          <w:rFonts w:ascii="Times New Roman" w:hAnsi="Times New Roman" w:cs="Times New Roman"/>
          <w:color w:val="FF0000"/>
          <w:sz w:val="72"/>
          <w:szCs w:val="72"/>
        </w:rPr>
      </w:pPr>
    </w:p>
    <w:p>
      <w:pPr>
        <w:ind w:firstLine="3373" w:firstLineChars="1200"/>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p>
    <w:p>
      <w:pPr>
        <w:ind w:firstLine="3233" w:firstLineChars="1150"/>
        <w:rPr>
          <w:rFonts w:ascii="Times New Roman" w:hAnsi="Times New Roman" w:cs="Times New Roman"/>
          <w:b/>
          <w:sz w:val="28"/>
          <w:szCs w:val="28"/>
        </w:rPr>
      </w:pPr>
      <w:r>
        <w:rPr>
          <w:rFonts w:ascii="Times New Roman" w:hAnsi="Times New Roman" w:cs="Times New Roman"/>
          <w:b/>
          <w:sz w:val="28"/>
          <w:szCs w:val="28"/>
        </w:rPr>
        <w:t>202</w:t>
      </w:r>
      <w:r>
        <w:rPr>
          <w:rFonts w:hint="eastAsia" w:ascii="Times New Roman" w:hAnsi="Times New Roman" w:cs="Times New Roman"/>
          <w:b/>
          <w:sz w:val="28"/>
          <w:szCs w:val="28"/>
          <w:lang w:val="en-US" w:eastAsia="zh-CN"/>
        </w:rPr>
        <w:t>2</w:t>
      </w:r>
      <w:r>
        <w:rPr>
          <w:rFonts w:ascii="Times New Roman" w:hAnsi="Times New Roman" w:cs="Times New Roman"/>
          <w:b/>
          <w:sz w:val="28"/>
          <w:szCs w:val="28"/>
        </w:rPr>
        <w:t>年 第</w:t>
      </w:r>
      <w:r>
        <w:rPr>
          <w:rFonts w:hint="eastAsia" w:ascii="Times New Roman" w:hAnsi="Times New Roman" w:cs="Times New Roman"/>
          <w:b/>
          <w:sz w:val="28"/>
          <w:szCs w:val="28"/>
          <w:lang w:eastAsia="zh-CN"/>
        </w:rPr>
        <w:t>五</w:t>
      </w:r>
      <w:r>
        <w:rPr>
          <w:rFonts w:ascii="Times New Roman" w:hAnsi="Times New Roman" w:cs="Times New Roman"/>
          <w:b/>
          <w:sz w:val="28"/>
          <w:szCs w:val="28"/>
        </w:rPr>
        <w:t>期</w:t>
      </w:r>
    </w:p>
    <w:p>
      <w:pPr>
        <w:ind w:firstLine="3092" w:firstLineChars="1100"/>
        <w:rPr>
          <w:rFonts w:ascii="Times New Roman" w:hAnsi="Times New Roman" w:cs="Times New Roman"/>
          <w:b/>
          <w:sz w:val="28"/>
          <w:szCs w:val="28"/>
        </w:rPr>
      </w:pPr>
      <w:r>
        <w:rPr>
          <w:rFonts w:ascii="Times New Roman" w:hAnsi="Times New Roman" w:cs="Times New Roman"/>
          <w:b/>
          <w:sz w:val="28"/>
          <w:szCs w:val="28"/>
        </w:rPr>
        <w:t>（总第11</w:t>
      </w:r>
      <w:r>
        <w:rPr>
          <w:rFonts w:hint="eastAsia" w:ascii="Times New Roman" w:hAnsi="Times New Roman" w:cs="Times New Roman"/>
          <w:b/>
          <w:sz w:val="28"/>
          <w:szCs w:val="28"/>
          <w:lang w:val="en-US" w:eastAsia="zh-CN"/>
        </w:rPr>
        <w:t>8</w:t>
      </w:r>
      <w:r>
        <w:rPr>
          <w:rFonts w:ascii="Times New Roman" w:hAnsi="Times New Roman" w:cs="Times New Roman"/>
          <w:b/>
          <w:sz w:val="28"/>
          <w:szCs w:val="28"/>
        </w:rPr>
        <w:t>期）</w:t>
      </w:r>
    </w:p>
    <w:p>
      <w:pPr>
        <w:ind w:firstLine="281" w:firstLineChars="100"/>
        <w:rPr>
          <w:rFonts w:ascii="Times New Roman" w:hAnsi="Times New Roman" w:cs="Times New Roman"/>
          <w:b/>
          <w:sz w:val="28"/>
          <w:szCs w:val="28"/>
        </w:rPr>
      </w:pPr>
      <w:r>
        <w:rPr>
          <w:rFonts w:ascii="Times New Roman" w:hAnsi="Times New Roman" w:cs="Times New Roman"/>
          <w:b/>
          <w:sz w:val="28"/>
          <w:szCs w:val="28"/>
        </w:rPr>
        <w:t>校质量监督处  编                       202</w:t>
      </w:r>
      <w:r>
        <w:rPr>
          <w:rFonts w:hint="eastAsia" w:ascii="Times New Roman" w:hAnsi="Times New Roman" w:cs="Times New Roman"/>
          <w:b/>
          <w:sz w:val="28"/>
          <w:szCs w:val="28"/>
          <w:lang w:val="en-US" w:eastAsia="zh-CN"/>
        </w:rPr>
        <w:t>2</w:t>
      </w:r>
      <w:r>
        <w:rPr>
          <w:rFonts w:ascii="Times New Roman" w:hAnsi="Times New Roman" w:cs="Times New Roman"/>
          <w:b/>
          <w:sz w:val="28"/>
          <w:szCs w:val="28"/>
        </w:rPr>
        <w:t>年</w:t>
      </w:r>
      <w:r>
        <w:rPr>
          <w:rFonts w:hint="eastAsia" w:ascii="Times New Roman" w:hAnsi="Times New Roman" w:cs="Times New Roman"/>
          <w:b/>
          <w:sz w:val="28"/>
          <w:szCs w:val="28"/>
          <w:lang w:val="en-US" w:eastAsia="zh-CN"/>
        </w:rPr>
        <w:t>12</w:t>
      </w:r>
      <w:r>
        <w:rPr>
          <w:rFonts w:ascii="Times New Roman" w:hAnsi="Times New Roman" w:cs="Times New Roman"/>
          <w:b/>
          <w:sz w:val="28"/>
          <w:szCs w:val="28"/>
        </w:rPr>
        <w:t>月</w:t>
      </w:r>
      <w:r>
        <w:rPr>
          <w:rFonts w:hint="eastAsia" w:ascii="Times New Roman" w:hAnsi="Times New Roman" w:cs="Times New Roman"/>
          <w:b/>
          <w:sz w:val="28"/>
          <w:szCs w:val="28"/>
          <w:lang w:val="en-US" w:eastAsia="zh-CN"/>
        </w:rPr>
        <w:t>28</w:t>
      </w:r>
      <w:r>
        <w:rPr>
          <w:rFonts w:ascii="Times New Roman" w:hAnsi="Times New Roman" w:cs="Times New Roman"/>
          <w:b/>
          <w:sz w:val="28"/>
          <w:szCs w:val="28"/>
        </w:rPr>
        <w:t>日</w:t>
      </w:r>
    </w:p>
    <w:p>
      <w:pPr>
        <w:ind w:firstLine="703" w:firstLineChars="250"/>
        <w:rPr>
          <w:rFonts w:ascii="Times New Roman" w:hAnsi="Times New Roman" w:cs="Times New Roman"/>
          <w:b/>
          <w:sz w:val="28"/>
          <w:szCs w:val="28"/>
        </w:rPr>
      </w:pPr>
    </w:p>
    <w:p>
      <w:pPr>
        <w:rPr>
          <w:rFonts w:ascii="Times New Roman" w:hAnsi="Times New Roman" w:cs="Times New Roman" w:eastAsiaTheme="majorEastAsia"/>
          <w:b/>
          <w:sz w:val="28"/>
          <w:szCs w:val="28"/>
        </w:rPr>
      </w:pPr>
    </w:p>
    <w:p>
      <w:pPr>
        <w:ind w:firstLine="3092" w:firstLineChars="1100"/>
        <w:rPr>
          <w:rFonts w:ascii="Times New Roman" w:hAnsi="Times New Roman" w:cs="Times New Roman" w:eastAsiaTheme="majorEastAsia"/>
          <w:b/>
          <w:sz w:val="28"/>
          <w:szCs w:val="28"/>
        </w:rPr>
      </w:pPr>
      <w:r>
        <w:rPr>
          <w:rFonts w:ascii="Times New Roman" w:hAnsi="Times New Roman" w:cs="Times New Roman" w:eastAsiaTheme="majorEastAsia"/>
          <w:b/>
          <w:sz w:val="28"/>
          <w:szCs w:val="28"/>
        </w:rPr>
        <w:t>本  期  要  点</w:t>
      </w:r>
    </w:p>
    <w:p>
      <w:pPr>
        <w:widowControl/>
        <w:shd w:val="clear" w:color="auto" w:fill="FFFFFF"/>
        <w:spacing w:after="140"/>
        <w:jc w:val="left"/>
        <w:outlineLvl w:val="1"/>
        <w:rPr>
          <w:rFonts w:ascii="Times New Roman" w:hAnsi="Times New Roman" w:cs="Times New Roman"/>
          <w:b/>
          <w:color w:val="333333"/>
          <w:spacing w:val="6"/>
          <w:kern w:val="0"/>
          <w:sz w:val="28"/>
          <w:szCs w:val="28"/>
        </w:rPr>
      </w:pPr>
    </w:p>
    <w:p>
      <w:pPr>
        <w:spacing w:line="360" w:lineRule="auto"/>
        <w:rPr>
          <w:rFonts w:ascii="Times New Roman" w:hAnsi="Times New Roman" w:cs="Times New Roman"/>
          <w:b/>
          <w:sz w:val="28"/>
          <w:szCs w:val="28"/>
        </w:rPr>
      </w:pPr>
    </w:p>
    <w:p>
      <w:pPr>
        <w:spacing w:line="360" w:lineRule="auto"/>
        <w:textAlignment w:val="baseline"/>
        <w:rPr>
          <w:rFonts w:hint="eastAsia" w:cs="Arial Unicode MS" w:asciiTheme="minorEastAsia" w:hAnsiTheme="minorEastAsia"/>
          <w:b/>
          <w:bCs/>
          <w:kern w:val="0"/>
          <w:sz w:val="28"/>
          <w:szCs w:val="28"/>
        </w:rPr>
      </w:pPr>
      <w:r>
        <w:rPr>
          <w:rFonts w:hint="eastAsia" w:ascii="Times New Roman" w:hAnsi="Times New Roman" w:cs="Times New Roman"/>
          <w:b/>
          <w:sz w:val="28"/>
          <w:szCs w:val="28"/>
          <w:lang w:val="en-US" w:eastAsia="zh-CN"/>
        </w:rPr>
        <w:t>•</w:t>
      </w:r>
      <w:r>
        <w:rPr>
          <w:rFonts w:hint="eastAsia" w:ascii="Times New Roman" w:hAnsi="Times New Roman" w:cs="Times New Roman" w:eastAsiaTheme="minorEastAsia"/>
          <w:b/>
          <w:kern w:val="2"/>
          <w:sz w:val="28"/>
          <w:szCs w:val="28"/>
          <w:lang w:val="en-US" w:eastAsia="zh-CN" w:bidi="ar-SA"/>
        </w:rPr>
        <w:t xml:space="preserve">  </w:t>
      </w:r>
      <w:r>
        <w:rPr>
          <w:rFonts w:hint="eastAsia" w:ascii="Times New Roman" w:hAnsi="Times New Roman" w:cs="Times New Roman"/>
          <w:b/>
          <w:kern w:val="2"/>
          <w:sz w:val="28"/>
          <w:szCs w:val="28"/>
          <w:lang w:val="en-US" w:eastAsia="zh-CN" w:bidi="ar-SA"/>
        </w:rPr>
        <w:t>各学院</w:t>
      </w:r>
      <w:r>
        <w:rPr>
          <w:rFonts w:hint="eastAsia" w:ascii="Times New Roman" w:hAnsi="Times New Roman" w:cs="Times New Roman" w:eastAsiaTheme="minorEastAsia"/>
          <w:b/>
          <w:kern w:val="2"/>
          <w:sz w:val="28"/>
          <w:szCs w:val="28"/>
          <w:lang w:val="en-US" w:eastAsia="zh-CN" w:bidi="ar-SA"/>
        </w:rPr>
        <w:t>毕业生培养质量年度整改报告</w:t>
      </w:r>
    </w:p>
    <w:p>
      <w:pPr>
        <w:pStyle w:val="12"/>
        <w:spacing w:before="120" w:beforeAutospacing="0" w:after="120" w:afterAutospacing="0" w:line="480" w:lineRule="atLeast"/>
        <w:ind w:firstLine="558" w:firstLineChars="200"/>
        <w:jc w:val="both"/>
        <w:rPr>
          <w:rFonts w:ascii="PingFangSC-Regular" w:hAnsi="PingFangSC-Regular"/>
          <w:b/>
          <w:bCs/>
          <w:color w:val="333333"/>
          <w:spacing w:val="-1"/>
          <w:sz w:val="28"/>
          <w:szCs w:val="28"/>
          <w:shd w:val="clear" w:color="auto" w:fill="FFFFFF"/>
        </w:rPr>
      </w:pPr>
    </w:p>
    <w:p>
      <w:pPr>
        <w:pStyle w:val="12"/>
        <w:spacing w:before="120" w:beforeAutospacing="0" w:after="120" w:afterAutospacing="0" w:line="480" w:lineRule="atLeast"/>
        <w:ind w:firstLine="558" w:firstLineChars="200"/>
        <w:jc w:val="both"/>
        <w:rPr>
          <w:rFonts w:ascii="PingFangSC-Regular" w:hAnsi="PingFangSC-Regular"/>
          <w:b/>
          <w:bCs/>
          <w:color w:val="333333"/>
          <w:spacing w:val="-1"/>
          <w:sz w:val="28"/>
          <w:szCs w:val="28"/>
          <w:shd w:val="clear" w:color="auto" w:fill="FFFFFF"/>
        </w:rPr>
      </w:pPr>
    </w:p>
    <w:p>
      <w:pPr>
        <w:pStyle w:val="3"/>
        <w:pageBreakBefore w:val="0"/>
        <w:widowControl w:val="0"/>
        <w:kinsoku/>
        <w:wordWrap/>
        <w:overflowPunct/>
        <w:topLinePunct w:val="0"/>
        <w:autoSpaceDE/>
        <w:autoSpaceDN/>
        <w:bidi w:val="0"/>
        <w:adjustRightInd/>
        <w:spacing w:line="360" w:lineRule="auto"/>
        <w:jc w:val="both"/>
        <w:textAlignment w:val="auto"/>
        <w:rPr>
          <w:rFonts w:hint="eastAsia" w:asciiTheme="minorEastAsia" w:hAnsiTheme="minorEastAsia" w:eastAsia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cstheme="minorEastAsia"/>
          <w:b w:val="0"/>
          <w:bCs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360" w:lineRule="auto"/>
        <w:ind w:firstLine="1405" w:firstLineChars="500"/>
        <w:textAlignment w:val="auto"/>
        <w:rPr>
          <w:rFonts w:hint="eastAsia" w:asciiTheme="minorEastAsia" w:hAnsiTheme="minorEastAsia" w:eastAsiaTheme="minorEastAsia" w:cstheme="minorEastAsia"/>
          <w:b w:val="0"/>
          <w:bCs w:val="0"/>
          <w:kern w:val="2"/>
          <w:sz w:val="28"/>
          <w:szCs w:val="28"/>
          <w:lang w:val="en-US" w:eastAsia="zh-CN" w:bidi="ar-SA"/>
        </w:rPr>
      </w:pPr>
      <w:r>
        <w:rPr>
          <w:rFonts w:hint="eastAsia" w:asciiTheme="minorEastAsia" w:hAnsiTheme="minorEastAsia" w:cstheme="minorEastAsia"/>
          <w:b/>
          <w:bCs/>
          <w:kern w:val="2"/>
          <w:sz w:val="28"/>
          <w:szCs w:val="28"/>
          <w:lang w:val="en-US" w:eastAsia="zh-CN" w:bidi="ar-SA"/>
        </w:rPr>
        <w:t>初等教育学院毕业生培养质量年度整改报告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kern w:val="2"/>
          <w:sz w:val="24"/>
          <w:szCs w:val="24"/>
          <w:lang w:val="en-US" w:eastAsia="zh-CN" w:bidi="ar-SA"/>
        </w:rPr>
        <w:t>依据《连云港师</w:t>
      </w:r>
      <w:r>
        <w:rPr>
          <w:rFonts w:hint="eastAsia" w:asciiTheme="minorEastAsia" w:hAnsiTheme="minorEastAsia" w:eastAsiaTheme="minorEastAsia" w:cstheme="minorEastAsia"/>
          <w:sz w:val="24"/>
          <w:szCs w:val="24"/>
        </w:rPr>
        <w:t>专2020届毕业生培养质量评价报告》，结合学院教师反馈意见及学生座谈会，针对提升质量整改工作，按照学院、专业、课程、教师、学生等方面制定整改措施如下：</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1.学院层面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（1）准确理解把握学校定位与目标特别是人才培养目标的内涵，提高</w:t>
      </w:r>
      <w:r>
        <w:rPr>
          <w:rFonts w:hint="eastAsia" w:asciiTheme="minorEastAsia" w:hAnsiTheme="minorEastAsia" w:eastAsiaTheme="minorEastAsia" w:cstheme="minorEastAsia"/>
          <w:sz w:val="24"/>
          <w:szCs w:val="24"/>
          <w:lang w:val="en-US" w:eastAsia="zh-CN"/>
        </w:rPr>
        <w:t>全院师生</w:t>
      </w:r>
      <w:r>
        <w:rPr>
          <w:rFonts w:hint="eastAsia" w:asciiTheme="minorEastAsia" w:hAnsiTheme="minorEastAsia" w:eastAsiaTheme="minorEastAsia" w:cstheme="minorEastAsia"/>
          <w:sz w:val="24"/>
          <w:szCs w:val="24"/>
        </w:rPr>
        <w:t>对培养</w:t>
      </w:r>
      <w:r>
        <w:rPr>
          <w:rFonts w:hint="eastAsia" w:asciiTheme="minorEastAsia" w:hAnsiTheme="minorEastAsia" w:eastAsiaTheme="minorEastAsia" w:cstheme="minorEastAsia"/>
          <w:sz w:val="24"/>
          <w:szCs w:val="24"/>
          <w:lang w:val="en-US" w:eastAsia="zh-CN"/>
        </w:rPr>
        <w:t>目标</w:t>
      </w:r>
      <w:r>
        <w:rPr>
          <w:rFonts w:hint="eastAsia" w:asciiTheme="minorEastAsia" w:hAnsiTheme="minorEastAsia" w:eastAsiaTheme="minorEastAsia" w:cstheme="minorEastAsia"/>
          <w:sz w:val="24"/>
          <w:szCs w:val="24"/>
        </w:rPr>
        <w:t>的认知</w:t>
      </w:r>
      <w:r>
        <w:rPr>
          <w:rFonts w:hint="eastAsia" w:asciiTheme="minorEastAsia" w:hAnsiTheme="minorEastAsia" w:eastAsiaTheme="minorEastAsia" w:cstheme="minorEastAsia"/>
          <w:sz w:val="24"/>
          <w:szCs w:val="24"/>
          <w:lang w:val="en-US" w:eastAsia="zh-CN"/>
        </w:rPr>
        <w:t>和认同</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以学生成长成才为出发点，贯彻全方位、全过程、全员育人理念。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（3）做好学生培养工作，</w:t>
      </w:r>
      <w:r>
        <w:rPr>
          <w:rFonts w:hint="eastAsia" w:asciiTheme="minorEastAsia" w:hAnsiTheme="minorEastAsia" w:eastAsiaTheme="minorEastAsia" w:cstheme="minorEastAsia"/>
          <w:sz w:val="24"/>
          <w:szCs w:val="24"/>
          <w:lang w:val="en-US" w:eastAsia="zh-CN"/>
        </w:rPr>
        <w:t>力求实现</w:t>
      </w:r>
      <w:r>
        <w:rPr>
          <w:rFonts w:hint="eastAsia" w:asciiTheme="minorEastAsia" w:hAnsiTheme="minorEastAsia" w:eastAsiaTheme="minorEastAsia" w:cstheme="minorEastAsia"/>
          <w:sz w:val="24"/>
          <w:szCs w:val="24"/>
        </w:rPr>
        <w:t>学院</w:t>
      </w:r>
      <w:r>
        <w:rPr>
          <w:rFonts w:hint="eastAsia" w:asciiTheme="minorEastAsia" w:hAnsiTheme="minorEastAsia" w:eastAsiaTheme="minorEastAsia" w:cstheme="minorEastAsia"/>
          <w:sz w:val="24"/>
          <w:szCs w:val="24"/>
          <w:lang w:val="en-US" w:eastAsia="zh-CN"/>
        </w:rPr>
        <w:t>学生</w:t>
      </w:r>
      <w:r>
        <w:rPr>
          <w:rFonts w:hint="eastAsia" w:asciiTheme="minorEastAsia" w:hAnsiTheme="minorEastAsia" w:eastAsiaTheme="minorEastAsia" w:cstheme="minorEastAsia"/>
          <w:sz w:val="24"/>
          <w:szCs w:val="24"/>
        </w:rPr>
        <w:t>毕业要求达成度。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以学生为中心，完善和梳理教学、科研、管理各项规章制度。</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2.专业层面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（1）加大师范专业认证工作力度，对标专业认证，考虑软硬件投入</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以1+X证书为抓手，加强</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szCs w:val="24"/>
          <w:lang w:val="en-US" w:eastAsia="zh-CN"/>
        </w:rPr>
        <w:t>非师范</w:t>
      </w:r>
      <w:r>
        <w:rPr>
          <w:rFonts w:hint="eastAsia" w:asciiTheme="minorEastAsia" w:hAnsiTheme="minorEastAsia" w:eastAsiaTheme="minorEastAsia" w:cstheme="minorEastAsia"/>
          <w:sz w:val="24"/>
          <w:szCs w:val="24"/>
        </w:rPr>
        <w:t>专业的</w:t>
      </w:r>
      <w:r>
        <w:rPr>
          <w:rFonts w:hint="eastAsia" w:asciiTheme="minorEastAsia" w:hAnsiTheme="minorEastAsia" w:eastAsiaTheme="minorEastAsia" w:cstheme="minorEastAsia"/>
          <w:sz w:val="24"/>
          <w:szCs w:val="24"/>
          <w:lang w:val="en-US" w:eastAsia="zh-CN"/>
        </w:rPr>
        <w:t>建设</w:t>
      </w:r>
      <w:r>
        <w:rPr>
          <w:rFonts w:hint="eastAsia" w:asciiTheme="minorEastAsia" w:hAnsiTheme="minorEastAsia" w:eastAsiaTheme="minorEastAsia" w:cstheme="minorEastAsia"/>
          <w:sz w:val="24"/>
          <w:szCs w:val="24"/>
        </w:rPr>
        <w:t>，积极探索合适路径方式，促进</w:t>
      </w:r>
      <w:r>
        <w:rPr>
          <w:rFonts w:hint="eastAsia" w:asciiTheme="minorEastAsia" w:hAnsiTheme="minorEastAsia" w:eastAsiaTheme="minorEastAsia" w:cstheme="minorEastAsia"/>
          <w:sz w:val="24"/>
          <w:szCs w:val="24"/>
          <w:lang w:val="en-US" w:eastAsia="zh-CN"/>
        </w:rPr>
        <w:t>非师范</w:t>
      </w:r>
      <w:r>
        <w:rPr>
          <w:rFonts w:hint="eastAsia" w:asciiTheme="minorEastAsia" w:hAnsiTheme="minorEastAsia" w:eastAsiaTheme="minorEastAsia" w:cstheme="minorEastAsia"/>
          <w:sz w:val="24"/>
          <w:szCs w:val="24"/>
        </w:rPr>
        <w:t>专业</w:t>
      </w:r>
      <w:r>
        <w:rPr>
          <w:rFonts w:hint="eastAsia" w:asciiTheme="minorEastAsia" w:hAnsiTheme="minorEastAsia" w:eastAsiaTheme="minorEastAsia" w:cstheme="minorEastAsia"/>
          <w:sz w:val="24"/>
          <w:szCs w:val="24"/>
          <w:lang w:val="en-US" w:eastAsia="zh-CN"/>
        </w:rPr>
        <w:t>做大做强。</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（3）对照专业认证标准，对标学校人才培养总目标，修订完善各专业人才培养目标</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以教学成果奖工作为动力源，</w:t>
      </w:r>
      <w:r>
        <w:rPr>
          <w:rFonts w:hint="eastAsia" w:asciiTheme="minorEastAsia" w:hAnsiTheme="minorEastAsia" w:eastAsiaTheme="minorEastAsia" w:cstheme="minorEastAsia"/>
          <w:sz w:val="24"/>
          <w:szCs w:val="24"/>
        </w:rPr>
        <w:t>对现有培养模式的内容进行补充、完善和凝练。</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做好专业实训室方案及建设工作，切实提高利用率。</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3.课程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（1）加强研教结合，提升人才培养质量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（2）积极利用网络优质资源，构建教师教育类课程资源库和课程实施平台。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（3）督促课程负责人目标导向，锁定毕业要求，反向施工。</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）制定关于加强教改成果实践应用的制度和措施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强化实践实训类课程基地建设力度。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（6）加大学生技能日常训练力度，包干到人，每一位教师承担落实学生技能训练和发展任务。</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4.师资队伍</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（1）制定专业发展规划和专业师资引进计划，以学院为整体，优化各专业师资，明确专业带头人职责，继续解决师资缺乏和青年教师断层问题，保证专业教学需求</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（2）建议学校对新建专业、弱势专业在校内人才流动等方面予以政策倾斜，保障相关学科教师队伍的数量与质量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（3）规范外聘上课教师审批程序，确保外聘教师上课质量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（4）明确辅导员与班主任的责任分工，加大辅导员和班主任与学生密切交流频率。</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5.学生发展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（1）部分毕业生就业延缓现象凸显，</w:t>
      </w:r>
      <w:r>
        <w:rPr>
          <w:rFonts w:hint="eastAsia" w:asciiTheme="minorEastAsia" w:hAnsiTheme="minorEastAsia" w:eastAsiaTheme="minorEastAsia" w:cstheme="minorEastAsia"/>
          <w:sz w:val="24"/>
          <w:szCs w:val="24"/>
          <w:lang w:val="en-US" w:eastAsia="zh-CN"/>
        </w:rPr>
        <w:t>搭建</w:t>
      </w:r>
      <w:r>
        <w:rPr>
          <w:rFonts w:hint="eastAsia" w:asciiTheme="minorEastAsia" w:hAnsiTheme="minorEastAsia" w:eastAsiaTheme="minorEastAsia" w:cstheme="minorEastAsia"/>
          <w:sz w:val="24"/>
          <w:szCs w:val="24"/>
        </w:rPr>
        <w:t>线下招聘会</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网络招聘会渠道</w:t>
      </w:r>
      <w:r>
        <w:rPr>
          <w:rFonts w:hint="eastAsia" w:asciiTheme="minorEastAsia" w:hAnsiTheme="minorEastAsia" w:eastAsiaTheme="minorEastAsia" w:cstheme="minorEastAsia"/>
          <w:sz w:val="24"/>
          <w:szCs w:val="24"/>
        </w:rPr>
        <w:t>，为学生提供更为有效的求职机会，完善就业精准帮扶工作</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（2）持续关注学生在校期间专业</w:t>
      </w:r>
      <w:r>
        <w:rPr>
          <w:rFonts w:hint="eastAsia" w:asciiTheme="minorEastAsia" w:hAnsiTheme="minorEastAsia" w:eastAsiaTheme="minorEastAsia" w:cstheme="minorEastAsia"/>
          <w:sz w:val="24"/>
          <w:szCs w:val="24"/>
          <w:lang w:val="en-US" w:eastAsia="zh-CN"/>
        </w:rPr>
        <w:t>知识、</w:t>
      </w:r>
      <w:r>
        <w:rPr>
          <w:rFonts w:hint="eastAsia" w:asciiTheme="minorEastAsia" w:hAnsiTheme="minorEastAsia" w:eastAsiaTheme="minorEastAsia" w:cstheme="minorEastAsia"/>
          <w:sz w:val="24"/>
          <w:szCs w:val="24"/>
        </w:rPr>
        <w:t>能力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素养</w:t>
      </w:r>
      <w:r>
        <w:rPr>
          <w:rFonts w:hint="eastAsia" w:asciiTheme="minorEastAsia" w:hAnsiTheme="minorEastAsia" w:eastAsiaTheme="minorEastAsia" w:cstheme="minorEastAsia"/>
          <w:sz w:val="24"/>
          <w:szCs w:val="24"/>
        </w:rPr>
        <w:t>的培养，提高专业能力以保持工作竞争力，提高高质量就业率。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（3）提高对学生的职业规划与指导，做好职业规划，提高学生对毕业后职业选择的了解，避免职业选择失误。加大对外省学生就业指导和就业平台建设力度。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（4）继续完善实习实践工作，加强管理与监督，保证实习实践工作的质量，满足学生实习实践工作的需求。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完善</w:t>
      </w:r>
      <w:r>
        <w:rPr>
          <w:rFonts w:hint="eastAsia" w:asciiTheme="minorEastAsia" w:hAnsiTheme="minorEastAsia" w:eastAsiaTheme="minorEastAsia" w:cstheme="minorEastAsia"/>
          <w:sz w:val="24"/>
          <w:szCs w:val="24"/>
        </w:rPr>
        <w:t>辅导员</w:t>
      </w:r>
      <w:r>
        <w:rPr>
          <w:rFonts w:hint="eastAsia" w:asciiTheme="minorEastAsia" w:hAnsiTheme="minorEastAsia" w:eastAsiaTheme="minorEastAsia" w:cstheme="minorEastAsia"/>
          <w:sz w:val="24"/>
          <w:szCs w:val="24"/>
          <w:lang w:val="en-US" w:eastAsia="zh-CN"/>
        </w:rPr>
        <w:t>和班主任</w:t>
      </w:r>
      <w:r>
        <w:rPr>
          <w:rFonts w:hint="eastAsia" w:asciiTheme="minorEastAsia" w:hAnsiTheme="minorEastAsia" w:eastAsiaTheme="minorEastAsia" w:cstheme="minorEastAsia"/>
          <w:sz w:val="24"/>
          <w:szCs w:val="24"/>
        </w:rPr>
        <w:t>工作条例，</w:t>
      </w:r>
      <w:r>
        <w:rPr>
          <w:rFonts w:hint="eastAsia" w:asciiTheme="minorEastAsia" w:hAnsiTheme="minorEastAsia" w:eastAsiaTheme="minorEastAsia" w:cstheme="minorEastAsia"/>
          <w:sz w:val="24"/>
          <w:szCs w:val="24"/>
          <w:lang w:val="en-US" w:eastAsia="zh-CN"/>
        </w:rPr>
        <w:t>因地制宜、</w:t>
      </w:r>
      <w:r>
        <w:rPr>
          <w:rFonts w:hint="eastAsia" w:asciiTheme="minorEastAsia" w:hAnsiTheme="minorEastAsia" w:eastAsiaTheme="minorEastAsia" w:cstheme="minorEastAsia"/>
          <w:sz w:val="24"/>
          <w:szCs w:val="24"/>
        </w:rPr>
        <w:t>进一步明确辅导员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班主任</w:t>
      </w:r>
      <w:r>
        <w:rPr>
          <w:rFonts w:hint="eastAsia" w:asciiTheme="minorEastAsia" w:hAnsiTheme="minorEastAsia" w:eastAsiaTheme="minorEastAsia" w:cstheme="minorEastAsia"/>
          <w:sz w:val="24"/>
          <w:szCs w:val="24"/>
        </w:rPr>
        <w:t>的主要职责，健全和完善辅导员培养和考核制度；加强</w:t>
      </w:r>
      <w:r>
        <w:rPr>
          <w:rFonts w:hint="eastAsia" w:asciiTheme="minorEastAsia" w:hAnsiTheme="minorEastAsia" w:eastAsiaTheme="minorEastAsia" w:cstheme="minorEastAsia"/>
          <w:sz w:val="24"/>
          <w:szCs w:val="24"/>
          <w:lang w:val="en-US" w:eastAsia="zh-CN"/>
        </w:rPr>
        <w:t>班主任</w:t>
      </w:r>
      <w:r>
        <w:rPr>
          <w:rFonts w:hint="eastAsia" w:asciiTheme="minorEastAsia" w:hAnsiTheme="minorEastAsia" w:eastAsiaTheme="minorEastAsia" w:cstheme="minorEastAsia"/>
          <w:sz w:val="24"/>
          <w:szCs w:val="24"/>
        </w:rPr>
        <w:t>业务培训，全面提升</w:t>
      </w:r>
      <w:r>
        <w:rPr>
          <w:rFonts w:hint="eastAsia" w:asciiTheme="minorEastAsia" w:hAnsiTheme="minorEastAsia" w:eastAsiaTheme="minorEastAsia" w:cstheme="minorEastAsia"/>
          <w:sz w:val="24"/>
          <w:szCs w:val="24"/>
          <w:lang w:val="en-US" w:eastAsia="zh-CN"/>
        </w:rPr>
        <w:t>学生管理队伍</w:t>
      </w:r>
      <w:r>
        <w:rPr>
          <w:rFonts w:hint="eastAsia" w:asciiTheme="minorEastAsia" w:hAnsiTheme="minorEastAsia" w:eastAsiaTheme="minorEastAsia" w:cstheme="minorEastAsia"/>
          <w:sz w:val="24"/>
          <w:szCs w:val="24"/>
        </w:rPr>
        <w:t>职业素养。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843" w:firstLineChars="30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8"/>
          <w:szCs w:val="28"/>
          <w:lang w:val="en-US" w:eastAsia="zh-CN"/>
        </w:rPr>
        <w:t>学前教育学院（音乐学院）毕业生培养质量年度</w:t>
      </w:r>
      <w:r>
        <w:rPr>
          <w:rFonts w:hint="eastAsia" w:asciiTheme="minorEastAsia" w:hAnsiTheme="minorEastAsia" w:eastAsiaTheme="minorEastAsia" w:cstheme="minorEastAsia"/>
          <w:b/>
          <w:bCs/>
          <w:color w:val="auto"/>
          <w:sz w:val="28"/>
          <w:szCs w:val="28"/>
        </w:rPr>
        <w:t>整改报告</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本报告基于</w:t>
      </w:r>
      <w:r>
        <w:rPr>
          <w:rFonts w:hint="eastAsia" w:asciiTheme="minorEastAsia" w:hAnsiTheme="minorEastAsia" w:eastAsiaTheme="minorEastAsia" w:cstheme="minorEastAsia"/>
          <w:color w:val="auto"/>
          <w:sz w:val="24"/>
          <w:szCs w:val="24"/>
        </w:rPr>
        <w:t>麦可思《连云港师范高等专科学校20</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rPr>
        <w:t>届毕业生培养质量评价报告》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《连云港师范高等专科学校201</w:t>
      </w: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rPr>
        <w:t>届毕业生培养质量中期评价报告》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2021中国职业教育质量</w:t>
      </w:r>
      <w:r>
        <w:rPr>
          <w:rFonts w:hint="eastAsia" w:asciiTheme="minorEastAsia" w:hAnsiTheme="minorEastAsia" w:cstheme="minorEastAsia"/>
          <w:color w:val="auto"/>
          <w:sz w:val="24"/>
          <w:szCs w:val="24"/>
          <w:lang w:val="en-US" w:eastAsia="zh-CN"/>
        </w:rPr>
        <w:t>年度</w:t>
      </w:r>
      <w:r>
        <w:rPr>
          <w:rFonts w:hint="eastAsia" w:asciiTheme="minorEastAsia" w:hAnsiTheme="minorEastAsia" w:eastAsiaTheme="minorEastAsia" w:cstheme="minorEastAsia"/>
          <w:color w:val="auto"/>
          <w:sz w:val="24"/>
          <w:szCs w:val="24"/>
          <w:lang w:val="en-US" w:eastAsia="zh-CN"/>
        </w:rPr>
        <w:t>报告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以及校招生就业</w:t>
      </w:r>
      <w:r>
        <w:rPr>
          <w:rFonts w:hint="eastAsia" w:asciiTheme="minorEastAsia" w:hAnsiTheme="minorEastAsia" w:cstheme="minorEastAsia"/>
          <w:color w:val="auto"/>
          <w:sz w:val="24"/>
          <w:szCs w:val="24"/>
          <w:lang w:val="en-US" w:eastAsia="zh-CN"/>
        </w:rPr>
        <w:t>办公室</w:t>
      </w:r>
      <w:r>
        <w:rPr>
          <w:rFonts w:hint="eastAsia" w:asciiTheme="minorEastAsia" w:hAnsiTheme="minorEastAsia" w:eastAsiaTheme="minorEastAsia" w:cstheme="minorEastAsia"/>
          <w:color w:val="auto"/>
          <w:sz w:val="24"/>
          <w:szCs w:val="24"/>
          <w:lang w:val="en-US" w:eastAsia="zh-CN"/>
        </w:rPr>
        <w:t>公布的当年毕业生年终就业率统计，涉及的我院专业有学前教育（含学前教育3+2分段培养、普通学前教育、中加合作、海外本科直通车）、早期教育、心理咨询、音乐教育、音乐表演</w:t>
      </w:r>
      <w:r>
        <w:rPr>
          <w:rFonts w:hint="eastAsia" w:asciiTheme="minorEastAsia" w:hAnsiTheme="minorEastAsia" w:eastAsiaTheme="minorEastAsia" w:cstheme="minorEastAsia"/>
          <w:color w:val="auto"/>
          <w:sz w:val="24"/>
          <w:szCs w:val="24"/>
        </w:rPr>
        <w:t>。</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4"/>
          <w:szCs w:val="24"/>
          <w:lang w:val="en-US" w:eastAsia="zh-CN"/>
        </w:rPr>
        <w:t>从我院各</w:t>
      </w:r>
      <w:r>
        <w:rPr>
          <w:rFonts w:hint="eastAsia" w:asciiTheme="minorEastAsia" w:hAnsiTheme="minorEastAsia" w:eastAsiaTheme="minorEastAsia" w:cstheme="minorEastAsia"/>
          <w:color w:val="auto"/>
          <w:sz w:val="24"/>
          <w:szCs w:val="24"/>
        </w:rPr>
        <w:t>专业毕业生</w:t>
      </w:r>
      <w:r>
        <w:rPr>
          <w:rFonts w:hint="eastAsia" w:asciiTheme="minorEastAsia" w:hAnsiTheme="minorEastAsia" w:eastAsiaTheme="minorEastAsia" w:cstheme="minorEastAsia"/>
          <w:color w:val="auto"/>
          <w:sz w:val="24"/>
          <w:szCs w:val="24"/>
          <w:lang w:val="en-US" w:eastAsia="zh-CN"/>
        </w:rPr>
        <w:t>数及采集</w:t>
      </w:r>
      <w:r>
        <w:rPr>
          <w:rFonts w:hint="eastAsia" w:asciiTheme="minorEastAsia" w:hAnsiTheme="minorEastAsia" w:eastAsiaTheme="minorEastAsia" w:cstheme="minorEastAsia"/>
          <w:color w:val="auto"/>
          <w:sz w:val="24"/>
          <w:szCs w:val="24"/>
        </w:rPr>
        <w:t>样本量</w:t>
      </w:r>
      <w:r>
        <w:rPr>
          <w:rFonts w:hint="eastAsia" w:asciiTheme="minorEastAsia" w:hAnsiTheme="minorEastAsia" w:eastAsiaTheme="minorEastAsia" w:cstheme="minorEastAsia"/>
          <w:color w:val="auto"/>
          <w:sz w:val="24"/>
          <w:szCs w:val="24"/>
          <w:lang w:val="en-US" w:eastAsia="zh-CN"/>
        </w:rPr>
        <w:t>看</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2021年度实际毕业生1036人，回收问卷份数443份，实际毕业生分</w:t>
      </w:r>
      <w:r>
        <w:rPr>
          <w:rFonts w:hint="eastAsia" w:asciiTheme="minorEastAsia" w:hAnsiTheme="minorEastAsia" w:cstheme="minorEastAsia"/>
          <w:color w:val="auto"/>
          <w:sz w:val="24"/>
          <w:szCs w:val="24"/>
          <w:lang w:val="en-US" w:eastAsia="zh-CN"/>
        </w:rPr>
        <w:t>布</w:t>
      </w:r>
      <w:r>
        <w:rPr>
          <w:rFonts w:hint="eastAsia" w:asciiTheme="minorEastAsia" w:hAnsiTheme="minorEastAsia" w:eastAsiaTheme="minorEastAsia" w:cstheme="minorEastAsia"/>
          <w:color w:val="auto"/>
          <w:sz w:val="24"/>
          <w:szCs w:val="24"/>
          <w:lang w:val="en-US" w:eastAsia="zh-CN"/>
        </w:rPr>
        <w:t>率43.3%，样本数分布38.8%，样本比例42.8%，</w:t>
      </w:r>
      <w:r>
        <w:rPr>
          <w:rFonts w:hint="eastAsia" w:asciiTheme="minorEastAsia" w:hAnsiTheme="minorEastAsia" w:eastAsiaTheme="minorEastAsia" w:cstheme="minorEastAsia"/>
          <w:color w:val="auto"/>
          <w:sz w:val="24"/>
          <w:szCs w:val="24"/>
        </w:rPr>
        <w:t>相关统计数据</w:t>
      </w:r>
      <w:r>
        <w:rPr>
          <w:rFonts w:hint="eastAsia" w:asciiTheme="minorEastAsia" w:hAnsiTheme="minorEastAsia" w:eastAsiaTheme="minorEastAsia" w:cstheme="minorEastAsia"/>
          <w:color w:val="auto"/>
          <w:sz w:val="24"/>
          <w:szCs w:val="24"/>
          <w:lang w:val="en-US" w:eastAsia="zh-CN"/>
        </w:rPr>
        <w:t>比较</w:t>
      </w:r>
      <w:r>
        <w:rPr>
          <w:rFonts w:hint="eastAsia" w:asciiTheme="minorEastAsia" w:hAnsiTheme="minorEastAsia" w:eastAsiaTheme="minorEastAsia" w:cstheme="minorEastAsia"/>
          <w:color w:val="auto"/>
          <w:sz w:val="24"/>
          <w:szCs w:val="24"/>
        </w:rPr>
        <w:t>可靠，</w:t>
      </w:r>
      <w:r>
        <w:rPr>
          <w:rFonts w:hint="eastAsia" w:asciiTheme="minorEastAsia" w:hAnsiTheme="minorEastAsia" w:eastAsiaTheme="minorEastAsia" w:cstheme="minorEastAsia"/>
          <w:color w:val="auto"/>
          <w:sz w:val="24"/>
          <w:szCs w:val="24"/>
          <w:lang w:val="en-US" w:eastAsia="zh-CN"/>
        </w:rPr>
        <w:t>样本具有较强的代表性，能较为客观的反映我院关注的各专业毕业生的实际情况。</w:t>
      </w:r>
    </w:p>
    <w:p>
      <w:pPr>
        <w:pStyle w:val="10"/>
        <w:pBdr>
          <w:bottom w:val="none" w:color="auto" w:sz="0" w:space="0"/>
        </w:pBdr>
        <w:tabs>
          <w:tab w:val="right" w:pos="8674"/>
          <w:tab w:val="clear" w:pos="4153"/>
          <w:tab w:val="clear" w:pos="8306"/>
        </w:tabs>
        <w:spacing w:line="360" w:lineRule="auto"/>
        <w:ind w:firstLine="360" w:firstLineChars="200"/>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color w:val="auto"/>
          <w:sz w:val="18"/>
          <w:szCs w:val="18"/>
          <w:lang w:val="en-US" w:eastAsia="zh-CN"/>
        </w:rPr>
        <w:t>表1 各专业实际毕业生数及样本构成情况表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972"/>
        <w:gridCol w:w="1008"/>
        <w:gridCol w:w="1030"/>
        <w:gridCol w:w="92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shd w:val="clear" w:color="auto" w:fill="DCE6F2" w:themeFill="accent1" w:themeFillTint="32"/>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vertAlign w:val="baseline"/>
                <w:lang w:val="en-US" w:eastAsia="zh-CN"/>
              </w:rPr>
              <w:t>专业名称</w:t>
            </w:r>
          </w:p>
        </w:tc>
        <w:tc>
          <w:tcPr>
            <w:tcW w:w="972" w:type="dxa"/>
            <w:shd w:val="clear" w:color="auto" w:fill="DCE6F2" w:themeFill="accent1" w:themeFillTint="32"/>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vertAlign w:val="baseline"/>
                <w:lang w:val="en-US" w:eastAsia="zh-CN"/>
              </w:rPr>
              <w:t>实际毕业生数（人）</w:t>
            </w:r>
          </w:p>
        </w:tc>
        <w:tc>
          <w:tcPr>
            <w:tcW w:w="1008" w:type="dxa"/>
            <w:shd w:val="clear" w:color="auto" w:fill="DCE6F2" w:themeFill="accent1" w:themeFillTint="32"/>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vertAlign w:val="baseline"/>
                <w:lang w:val="en-US" w:eastAsia="zh-CN"/>
              </w:rPr>
              <w:t>回收问卷数（份）</w:t>
            </w:r>
          </w:p>
        </w:tc>
        <w:tc>
          <w:tcPr>
            <w:tcW w:w="1030" w:type="dxa"/>
            <w:shd w:val="clear" w:color="auto" w:fill="DCE6F2" w:themeFill="accent1" w:themeFillTint="32"/>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vertAlign w:val="baseline"/>
                <w:lang w:val="en-US" w:eastAsia="zh-CN"/>
              </w:rPr>
              <w:t>实际毕业生分布（%）</w:t>
            </w:r>
          </w:p>
        </w:tc>
        <w:tc>
          <w:tcPr>
            <w:tcW w:w="920" w:type="dxa"/>
            <w:shd w:val="clear" w:color="auto" w:fill="DCE6F2" w:themeFill="accent1" w:themeFillTint="32"/>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vertAlign w:val="baseline"/>
                <w:lang w:val="en-US" w:eastAsia="zh-CN"/>
              </w:rPr>
              <w:t>样本数分布（%）</w:t>
            </w:r>
          </w:p>
        </w:tc>
        <w:tc>
          <w:tcPr>
            <w:tcW w:w="880" w:type="dxa"/>
            <w:shd w:val="clear" w:color="auto" w:fill="DCE6F2" w:themeFill="accent1" w:themeFillTint="32"/>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vertAlign w:val="baseline"/>
                <w:lang w:val="en-US" w:eastAsia="zh-CN"/>
              </w:rPr>
              <w:t>样本比例（%）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58"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学前教育</w:t>
            </w:r>
          </w:p>
        </w:tc>
        <w:tc>
          <w:tcPr>
            <w:tcW w:w="972"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894</w:t>
            </w:r>
          </w:p>
        </w:tc>
        <w:tc>
          <w:tcPr>
            <w:tcW w:w="1008"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387</w:t>
            </w:r>
          </w:p>
        </w:tc>
        <w:tc>
          <w:tcPr>
            <w:tcW w:w="103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37.3</w:t>
            </w:r>
          </w:p>
        </w:tc>
        <w:tc>
          <w:tcPr>
            <w:tcW w:w="92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33.9</w:t>
            </w:r>
          </w:p>
        </w:tc>
        <w:tc>
          <w:tcPr>
            <w:tcW w:w="88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58"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kern w:val="2"/>
                <w:sz w:val="18"/>
                <w:szCs w:val="18"/>
                <w:vertAlign w:val="baseline"/>
                <w:lang w:val="en-US" w:eastAsia="zh-CN" w:bidi="ar-SA"/>
              </w:rPr>
            </w:pPr>
            <w:r>
              <w:rPr>
                <w:rFonts w:hint="eastAsia" w:asciiTheme="minorEastAsia" w:hAnsiTheme="minorEastAsia" w:eastAsiaTheme="minorEastAsia" w:cstheme="minorEastAsia"/>
                <w:b w:val="0"/>
                <w:bCs w:val="0"/>
                <w:color w:val="auto"/>
                <w:sz w:val="18"/>
                <w:szCs w:val="18"/>
                <w:vertAlign w:val="baseline"/>
                <w:lang w:val="en-US" w:eastAsia="zh-CN"/>
              </w:rPr>
              <w:t>音乐教育</w:t>
            </w:r>
          </w:p>
        </w:tc>
        <w:tc>
          <w:tcPr>
            <w:tcW w:w="972"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kern w:val="2"/>
                <w:sz w:val="18"/>
                <w:szCs w:val="18"/>
                <w:vertAlign w:val="baseline"/>
                <w:lang w:val="en-US" w:eastAsia="zh-CN" w:bidi="ar-SA"/>
              </w:rPr>
            </w:pPr>
            <w:r>
              <w:rPr>
                <w:rFonts w:hint="eastAsia" w:asciiTheme="minorEastAsia" w:hAnsiTheme="minorEastAsia" w:eastAsiaTheme="minorEastAsia" w:cstheme="minorEastAsia"/>
                <w:b w:val="0"/>
                <w:bCs w:val="0"/>
                <w:color w:val="auto"/>
                <w:sz w:val="18"/>
                <w:szCs w:val="18"/>
                <w:vertAlign w:val="baseline"/>
                <w:lang w:val="en-US" w:eastAsia="zh-CN"/>
              </w:rPr>
              <w:t>33</w:t>
            </w:r>
          </w:p>
        </w:tc>
        <w:tc>
          <w:tcPr>
            <w:tcW w:w="1008"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kern w:val="2"/>
                <w:sz w:val="18"/>
                <w:szCs w:val="18"/>
                <w:vertAlign w:val="baseline"/>
                <w:lang w:val="en-US" w:eastAsia="zh-CN" w:bidi="ar-SA"/>
              </w:rPr>
            </w:pPr>
            <w:r>
              <w:rPr>
                <w:rFonts w:hint="eastAsia" w:asciiTheme="minorEastAsia" w:hAnsiTheme="minorEastAsia" w:eastAsiaTheme="minorEastAsia" w:cstheme="minorEastAsia"/>
                <w:b w:val="0"/>
                <w:bCs w:val="0"/>
                <w:color w:val="auto"/>
                <w:sz w:val="18"/>
                <w:szCs w:val="18"/>
                <w:vertAlign w:val="baseline"/>
                <w:lang w:val="en-US" w:eastAsia="zh-CN"/>
              </w:rPr>
              <w:t>14</w:t>
            </w:r>
          </w:p>
        </w:tc>
        <w:tc>
          <w:tcPr>
            <w:tcW w:w="103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kern w:val="2"/>
                <w:sz w:val="18"/>
                <w:szCs w:val="18"/>
                <w:vertAlign w:val="baseline"/>
                <w:lang w:val="en-US" w:eastAsia="zh-CN" w:bidi="ar-SA"/>
              </w:rPr>
            </w:pPr>
            <w:r>
              <w:rPr>
                <w:rFonts w:hint="eastAsia" w:asciiTheme="minorEastAsia" w:hAnsiTheme="minorEastAsia" w:eastAsiaTheme="minorEastAsia" w:cstheme="minorEastAsia"/>
                <w:b w:val="0"/>
                <w:bCs w:val="0"/>
                <w:color w:val="auto"/>
                <w:sz w:val="18"/>
                <w:szCs w:val="18"/>
                <w:vertAlign w:val="baseline"/>
                <w:lang w:val="en-US" w:eastAsia="zh-CN"/>
              </w:rPr>
              <w:t>1.4</w:t>
            </w:r>
          </w:p>
        </w:tc>
        <w:tc>
          <w:tcPr>
            <w:tcW w:w="92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kern w:val="2"/>
                <w:sz w:val="18"/>
                <w:szCs w:val="18"/>
                <w:vertAlign w:val="baseline"/>
                <w:lang w:val="en-US" w:eastAsia="zh-CN" w:bidi="ar-SA"/>
              </w:rPr>
            </w:pPr>
            <w:r>
              <w:rPr>
                <w:rFonts w:hint="eastAsia" w:asciiTheme="minorEastAsia" w:hAnsiTheme="minorEastAsia" w:eastAsiaTheme="minorEastAsia" w:cstheme="minorEastAsia"/>
                <w:b w:val="0"/>
                <w:bCs w:val="0"/>
                <w:color w:val="auto"/>
                <w:sz w:val="18"/>
                <w:szCs w:val="18"/>
                <w:vertAlign w:val="baseline"/>
                <w:lang w:val="en-US" w:eastAsia="zh-CN"/>
              </w:rPr>
              <w:t>1.2</w:t>
            </w:r>
          </w:p>
        </w:tc>
        <w:tc>
          <w:tcPr>
            <w:tcW w:w="88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kern w:val="2"/>
                <w:sz w:val="18"/>
                <w:szCs w:val="18"/>
                <w:vertAlign w:val="baseline"/>
                <w:lang w:val="en-US" w:eastAsia="zh-CN" w:bidi="ar-SA"/>
              </w:rPr>
            </w:pPr>
            <w:r>
              <w:rPr>
                <w:rFonts w:hint="eastAsia" w:asciiTheme="minorEastAsia" w:hAnsiTheme="minorEastAsia" w:eastAsiaTheme="minorEastAsia" w:cstheme="minorEastAsia"/>
                <w:b w:val="0"/>
                <w:bCs w:val="0"/>
                <w:color w:val="auto"/>
                <w:sz w:val="18"/>
                <w:szCs w:val="18"/>
                <w:vertAlign w:val="baseline"/>
                <w:lang w:val="en-US" w:eastAsia="zh-CN"/>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58"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音乐表演</w:t>
            </w:r>
          </w:p>
        </w:tc>
        <w:tc>
          <w:tcPr>
            <w:tcW w:w="972"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54</w:t>
            </w:r>
          </w:p>
        </w:tc>
        <w:tc>
          <w:tcPr>
            <w:tcW w:w="1008"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19</w:t>
            </w:r>
          </w:p>
        </w:tc>
        <w:tc>
          <w:tcPr>
            <w:tcW w:w="103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2.3</w:t>
            </w:r>
          </w:p>
        </w:tc>
        <w:tc>
          <w:tcPr>
            <w:tcW w:w="92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1.7</w:t>
            </w:r>
          </w:p>
        </w:tc>
        <w:tc>
          <w:tcPr>
            <w:tcW w:w="88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58"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心理咨询</w:t>
            </w:r>
          </w:p>
        </w:tc>
        <w:tc>
          <w:tcPr>
            <w:tcW w:w="972"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30</w:t>
            </w:r>
          </w:p>
        </w:tc>
        <w:tc>
          <w:tcPr>
            <w:tcW w:w="1008"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11</w:t>
            </w:r>
          </w:p>
        </w:tc>
        <w:tc>
          <w:tcPr>
            <w:tcW w:w="103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1.3</w:t>
            </w:r>
          </w:p>
        </w:tc>
        <w:tc>
          <w:tcPr>
            <w:tcW w:w="92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1.0</w:t>
            </w:r>
          </w:p>
        </w:tc>
        <w:tc>
          <w:tcPr>
            <w:tcW w:w="880" w:type="dxa"/>
            <w:vAlign w:val="center"/>
          </w:tcPr>
          <w:p>
            <w:pPr>
              <w:pStyle w:val="10"/>
              <w:pBdr>
                <w:bottom w:val="none" w:color="auto" w:sz="0" w:space="0"/>
              </w:pBdr>
              <w:tabs>
                <w:tab w:val="right" w:pos="8674"/>
                <w:tab w:val="clear" w:pos="4153"/>
                <w:tab w:val="clear" w:pos="8306"/>
              </w:tabs>
              <w:spacing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8"/>
                <w:szCs w:val="18"/>
                <w:vertAlign w:val="baseline"/>
                <w:lang w:val="en-US" w:eastAsia="zh-CN"/>
              </w:rPr>
              <w:t>36.7</w:t>
            </w:r>
          </w:p>
        </w:tc>
      </w:tr>
    </w:tbl>
    <w:p>
      <w:pPr>
        <w:pStyle w:val="10"/>
        <w:pBdr>
          <w:bottom w:val="none" w:color="auto" w:sz="0" w:space="0"/>
        </w:pBdr>
        <w:tabs>
          <w:tab w:val="right" w:pos="8674"/>
          <w:tab w:val="clear" w:pos="4153"/>
          <w:tab w:val="clear" w:pos="8306"/>
        </w:tabs>
        <w:spacing w:line="360" w:lineRule="auto"/>
        <w:ind w:firstLine="422" w:firstLineChars="200"/>
        <w:jc w:val="center"/>
        <w:rPr>
          <w:rFonts w:hint="eastAsia" w:asciiTheme="minorEastAsia" w:hAnsiTheme="minorEastAsia" w:eastAsiaTheme="minorEastAsia" w:cstheme="minorEastAsia"/>
          <w:b/>
          <w:bCs/>
          <w:color w:val="auto"/>
          <w:sz w:val="21"/>
          <w:szCs w:val="21"/>
          <w:lang w:val="en-US" w:eastAsia="zh-CN"/>
        </w:rPr>
      </w:pPr>
    </w:p>
    <w:p>
      <w:pPr>
        <w:pStyle w:val="10"/>
        <w:pBdr>
          <w:bottom w:val="none" w:color="auto" w:sz="0" w:space="0"/>
        </w:pBdr>
        <w:tabs>
          <w:tab w:val="right" w:pos="8674"/>
          <w:tab w:val="clear" w:pos="4153"/>
          <w:tab w:val="clear" w:pos="8306"/>
        </w:tabs>
        <w:spacing w:line="240" w:lineRule="auto"/>
        <w:ind w:left="420" w:leftChars="200" w:right="0" w:rightChars="0" w:firstLine="419" w:firstLineChars="233"/>
        <w:jc w:val="both"/>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lang w:val="en-US" w:eastAsia="zh-CN"/>
        </w:rPr>
        <w:t>注：本年度调研学前教育专业各方向合并，个别专业在个别项目上采样</w:t>
      </w:r>
      <w:r>
        <w:rPr>
          <w:rFonts w:hint="eastAsia" w:asciiTheme="minorEastAsia" w:hAnsiTheme="minorEastAsia" w:eastAsiaTheme="minorEastAsia" w:cstheme="minorEastAsia"/>
          <w:color w:val="auto"/>
          <w:sz w:val="18"/>
          <w:szCs w:val="18"/>
        </w:rPr>
        <w:t>未达到一定的样本量，数据的代表性不高，所以在计算各专业分析指标时，这些专业的调查数据基本上没有在正文图表中展示，而是通过201</w:t>
      </w:r>
      <w:r>
        <w:rPr>
          <w:rFonts w:hint="eastAsia" w:asciiTheme="minorEastAsia" w:hAnsiTheme="minorEastAsia" w:eastAsiaTheme="minorEastAsia" w:cstheme="minorEastAsia"/>
          <w:color w:val="auto"/>
          <w:sz w:val="18"/>
          <w:szCs w:val="18"/>
          <w:lang w:val="en-US" w:eastAsia="zh-CN"/>
        </w:rPr>
        <w:t>9</w:t>
      </w:r>
      <w:r>
        <w:rPr>
          <w:rFonts w:hint="eastAsia" w:asciiTheme="minorEastAsia" w:hAnsiTheme="minorEastAsia" w:eastAsiaTheme="minorEastAsia" w:cstheme="minorEastAsia"/>
          <w:color w:val="auto"/>
          <w:sz w:val="18"/>
          <w:szCs w:val="18"/>
        </w:rPr>
        <w:t>届、20</w:t>
      </w:r>
      <w:r>
        <w:rPr>
          <w:rFonts w:hint="eastAsia" w:asciiTheme="minorEastAsia" w:hAnsiTheme="minorEastAsia" w:eastAsiaTheme="minorEastAsia" w:cstheme="minorEastAsia"/>
          <w:color w:val="auto"/>
          <w:sz w:val="18"/>
          <w:szCs w:val="18"/>
          <w:lang w:val="en-US" w:eastAsia="zh-CN"/>
        </w:rPr>
        <w:t>20</w:t>
      </w:r>
      <w:r>
        <w:rPr>
          <w:rFonts w:hint="eastAsia" w:asciiTheme="minorEastAsia" w:hAnsiTheme="minorEastAsia" w:eastAsiaTheme="minorEastAsia" w:cstheme="minorEastAsia"/>
          <w:color w:val="auto"/>
          <w:sz w:val="18"/>
          <w:szCs w:val="18"/>
        </w:rPr>
        <w:t>届数据拟合，计算出这些专业主要指标的拟合值，在报告的最后以“缺失专业主要指标”的形式加以反映。</w:t>
      </w:r>
    </w:p>
    <w:p>
      <w:pPr>
        <w:pStyle w:val="10"/>
        <w:pBdr>
          <w:bottom w:val="none" w:color="auto" w:sz="0" w:space="0"/>
        </w:pBdr>
        <w:tabs>
          <w:tab w:val="right" w:pos="8674"/>
          <w:tab w:val="clear" w:pos="4153"/>
          <w:tab w:val="clear" w:pos="8306"/>
        </w:tabs>
        <w:spacing w:line="240" w:lineRule="auto"/>
        <w:ind w:left="420" w:leftChars="200" w:right="0" w:rightChars="0" w:firstLine="419" w:firstLineChars="233"/>
        <w:jc w:val="both"/>
        <w:rPr>
          <w:rFonts w:hint="eastAsia" w:asciiTheme="minorEastAsia" w:hAnsiTheme="minorEastAsia" w:eastAsiaTheme="minorEastAsia" w:cstheme="minorEastAsia"/>
          <w:color w:val="auto"/>
          <w:sz w:val="18"/>
          <w:szCs w:val="18"/>
        </w:rPr>
      </w:pP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结合我院当前实际情况，</w:t>
      </w:r>
      <w:r>
        <w:rPr>
          <w:rFonts w:hint="eastAsia" w:asciiTheme="minorEastAsia" w:hAnsiTheme="minorEastAsia" w:eastAsiaTheme="minorEastAsia" w:cstheme="minorEastAsia"/>
          <w:color w:val="auto"/>
          <w:sz w:val="24"/>
          <w:szCs w:val="24"/>
          <w:lang w:val="en-US" w:eastAsia="zh-CN"/>
        </w:rPr>
        <w:t>就</w:t>
      </w:r>
      <w:r>
        <w:rPr>
          <w:rFonts w:hint="eastAsia" w:asciiTheme="minorEastAsia" w:hAnsiTheme="minorEastAsia" w:eastAsiaTheme="minorEastAsia" w:cstheme="minorEastAsia"/>
          <w:color w:val="auto"/>
          <w:sz w:val="24"/>
          <w:szCs w:val="24"/>
        </w:rPr>
        <w:t>201</w:t>
      </w: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rPr>
        <w:t>届</w:t>
      </w:r>
      <w:r>
        <w:rPr>
          <w:rFonts w:hint="eastAsia" w:asciiTheme="minorEastAsia" w:hAnsiTheme="minorEastAsia" w:eastAsiaTheme="minorEastAsia" w:cstheme="minorEastAsia"/>
          <w:color w:val="auto"/>
          <w:sz w:val="24"/>
          <w:szCs w:val="24"/>
          <w:lang w:val="en-US" w:eastAsia="zh-CN"/>
        </w:rPr>
        <w:t>各专业</w:t>
      </w:r>
      <w:r>
        <w:rPr>
          <w:rFonts w:hint="eastAsia" w:asciiTheme="minorEastAsia" w:hAnsiTheme="minorEastAsia" w:eastAsiaTheme="minorEastAsia" w:cstheme="minorEastAsia"/>
          <w:color w:val="auto"/>
          <w:sz w:val="24"/>
          <w:szCs w:val="24"/>
        </w:rPr>
        <w:t>毕业生培养质量评价的整体情况</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从就业质量、教学培养质量和学生工作及后勤保障等方面做出分析反思并就未来改进方向进行思考探索</w:t>
      </w:r>
      <w:r>
        <w:rPr>
          <w:rFonts w:hint="eastAsia" w:asciiTheme="minorEastAsia" w:hAnsiTheme="minorEastAsia" w:eastAsiaTheme="minorEastAsia" w:cstheme="minorEastAsia"/>
          <w:color w:val="auto"/>
          <w:sz w:val="24"/>
          <w:szCs w:val="24"/>
        </w:rPr>
        <w:t>。</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w:t>
      </w:r>
      <w:r>
        <w:rPr>
          <w:rFonts w:hint="eastAsia" w:asciiTheme="minorEastAsia" w:hAnsiTheme="minorEastAsia" w:eastAsiaTheme="minorEastAsia" w:cstheme="minorEastAsia"/>
          <w:b/>
          <w:bCs/>
          <w:color w:val="auto"/>
          <w:sz w:val="24"/>
          <w:szCs w:val="24"/>
          <w:lang w:val="en-US" w:eastAsia="zh-CN"/>
        </w:rPr>
        <w:t>学院</w:t>
      </w:r>
      <w:r>
        <w:rPr>
          <w:rFonts w:hint="eastAsia" w:asciiTheme="minorEastAsia" w:hAnsiTheme="minorEastAsia" w:eastAsiaTheme="minorEastAsia" w:cstheme="minorEastAsia"/>
          <w:b/>
          <w:bCs/>
          <w:color w:val="auto"/>
          <w:sz w:val="24"/>
          <w:szCs w:val="24"/>
        </w:rPr>
        <w:t>主要指标及趋势</w:t>
      </w:r>
      <w:r>
        <w:rPr>
          <w:rFonts w:hint="eastAsia" w:asciiTheme="minorEastAsia" w:hAnsiTheme="minorEastAsia" w:eastAsiaTheme="minorEastAsia" w:cstheme="minorEastAsia"/>
          <w:b/>
          <w:bCs/>
          <w:color w:val="auto"/>
          <w:sz w:val="24"/>
          <w:szCs w:val="24"/>
          <w:lang w:val="en-US" w:eastAsia="zh-CN"/>
        </w:rPr>
        <w:t>数据</w:t>
      </w:r>
      <w:r>
        <w:rPr>
          <w:rFonts w:hint="eastAsia" w:asciiTheme="minorEastAsia" w:hAnsiTheme="minorEastAsia" w:eastAsiaTheme="minorEastAsia" w:cstheme="minorEastAsia"/>
          <w:b/>
          <w:bCs/>
          <w:color w:val="auto"/>
          <w:sz w:val="24"/>
          <w:szCs w:val="24"/>
        </w:rPr>
        <w:t>分析</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根据麦可思报告提供的</w:t>
      </w:r>
      <w:r>
        <w:rPr>
          <w:rFonts w:hint="eastAsia" w:asciiTheme="minorEastAsia" w:hAnsiTheme="minorEastAsia" w:eastAsiaTheme="minorEastAsia" w:cstheme="minorEastAsia"/>
          <w:color w:val="auto"/>
          <w:sz w:val="24"/>
          <w:szCs w:val="24"/>
          <w:lang w:val="en-US" w:eastAsia="zh-CN"/>
        </w:rPr>
        <w:t>2018、</w:t>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lang w:val="en-US" w:eastAsia="zh-CN"/>
        </w:rPr>
        <w:t>19</w:t>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lang w:val="en-US" w:eastAsia="zh-CN"/>
        </w:rPr>
        <w:t>20、2021</w:t>
      </w:r>
      <w:r>
        <w:rPr>
          <w:rFonts w:hint="eastAsia" w:asciiTheme="minorEastAsia" w:hAnsiTheme="minorEastAsia" w:eastAsiaTheme="minorEastAsia" w:cstheme="minorEastAsia"/>
          <w:color w:val="auto"/>
          <w:sz w:val="24"/>
          <w:szCs w:val="24"/>
        </w:rPr>
        <w:t>届</w:t>
      </w:r>
      <w:r>
        <w:rPr>
          <w:rFonts w:hint="eastAsia" w:asciiTheme="minorEastAsia" w:hAnsiTheme="minorEastAsia" w:eastAsiaTheme="minorEastAsia" w:cstheme="minorEastAsia"/>
          <w:color w:val="auto"/>
          <w:sz w:val="24"/>
          <w:szCs w:val="24"/>
          <w:lang w:val="en-US" w:eastAsia="zh-CN"/>
        </w:rPr>
        <w:t>学校及</w:t>
      </w:r>
      <w:r>
        <w:rPr>
          <w:rFonts w:hint="eastAsia" w:asciiTheme="minorEastAsia" w:hAnsiTheme="minorEastAsia" w:eastAsiaTheme="minorEastAsia" w:cstheme="minorEastAsia"/>
          <w:color w:val="auto"/>
          <w:sz w:val="24"/>
          <w:szCs w:val="24"/>
        </w:rPr>
        <w:t>各学院毕业生</w:t>
      </w:r>
      <w:r>
        <w:rPr>
          <w:rFonts w:hint="eastAsia" w:asciiTheme="minorEastAsia" w:hAnsiTheme="minorEastAsia" w:eastAsiaTheme="minorEastAsia" w:cstheme="minorEastAsia"/>
          <w:color w:val="auto"/>
          <w:sz w:val="24"/>
          <w:szCs w:val="24"/>
          <w:lang w:val="en-US" w:eastAsia="zh-CN"/>
        </w:rPr>
        <w:t>调查</w:t>
      </w:r>
      <w:r>
        <w:rPr>
          <w:rFonts w:hint="eastAsia" w:asciiTheme="minorEastAsia" w:hAnsiTheme="minorEastAsia" w:eastAsiaTheme="minorEastAsia" w:cstheme="minorEastAsia"/>
          <w:color w:val="auto"/>
          <w:sz w:val="24"/>
          <w:szCs w:val="24"/>
        </w:rPr>
        <w:t>统计数据，我院大部分评价指标都高于</w:t>
      </w:r>
      <w:r>
        <w:rPr>
          <w:rFonts w:hint="eastAsia" w:asciiTheme="minorEastAsia" w:hAnsiTheme="minorEastAsia" w:eastAsiaTheme="minorEastAsia" w:cstheme="minorEastAsia"/>
          <w:color w:val="auto"/>
          <w:sz w:val="24"/>
          <w:szCs w:val="24"/>
          <w:lang w:val="en-US" w:eastAsia="zh-CN"/>
        </w:rPr>
        <w:t>或达到</w:t>
      </w:r>
      <w:r>
        <w:rPr>
          <w:rFonts w:hint="eastAsia" w:asciiTheme="minorEastAsia" w:hAnsiTheme="minorEastAsia" w:eastAsiaTheme="minorEastAsia" w:cstheme="minorEastAsia"/>
          <w:color w:val="auto"/>
          <w:sz w:val="24"/>
          <w:szCs w:val="24"/>
        </w:rPr>
        <w:t>全校平均水平</w:t>
      </w:r>
      <w:r>
        <w:rPr>
          <w:rFonts w:hint="eastAsia" w:asciiTheme="minorEastAsia" w:hAnsiTheme="minorEastAsia" w:eastAsiaTheme="minorEastAsia" w:cstheme="minorEastAsia"/>
          <w:color w:val="auto"/>
          <w:sz w:val="24"/>
          <w:szCs w:val="24"/>
          <w:lang w:val="en-US" w:eastAsia="zh-CN"/>
        </w:rPr>
        <w:t>并</w:t>
      </w:r>
      <w:r>
        <w:rPr>
          <w:rFonts w:hint="eastAsia" w:asciiTheme="minorEastAsia" w:hAnsiTheme="minorEastAsia" w:eastAsiaTheme="minorEastAsia" w:cstheme="minorEastAsia"/>
          <w:color w:val="auto"/>
          <w:sz w:val="24"/>
          <w:szCs w:val="24"/>
        </w:rPr>
        <w:t>不断优化，</w:t>
      </w:r>
      <w:r>
        <w:rPr>
          <w:rFonts w:hint="eastAsia" w:asciiTheme="minorEastAsia" w:hAnsiTheme="minorEastAsia" w:eastAsiaTheme="minorEastAsia" w:cstheme="minorEastAsia"/>
          <w:color w:val="auto"/>
          <w:sz w:val="24"/>
          <w:szCs w:val="24"/>
          <w:lang w:val="en-US" w:eastAsia="zh-CN"/>
        </w:rPr>
        <w:t>学院人才</w:t>
      </w:r>
      <w:r>
        <w:rPr>
          <w:rFonts w:hint="eastAsia" w:asciiTheme="minorEastAsia" w:hAnsiTheme="minorEastAsia" w:eastAsiaTheme="minorEastAsia" w:cstheme="minorEastAsia"/>
          <w:color w:val="auto"/>
          <w:sz w:val="24"/>
          <w:szCs w:val="24"/>
        </w:rPr>
        <w:t>培养效果良好、质量较高</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但在个别方面仍需加强关注，进一步提升</w:t>
      </w:r>
      <w:r>
        <w:rPr>
          <w:rFonts w:hint="eastAsia" w:asciiTheme="minorEastAsia" w:hAnsiTheme="minorEastAsia" w:eastAsiaTheme="minorEastAsia" w:cstheme="minorEastAsia"/>
          <w:color w:val="auto"/>
          <w:sz w:val="24"/>
          <w:szCs w:val="24"/>
        </w:rPr>
        <w:t>。</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一</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2021届横向比较整体较好</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基于麦可思调查显示，我院2021届毕业生的教学满意度、核心课程满足度、通用能力达成度、毕业生获证比例、毕业生对培养目标整理了解度、毕业要求了解度、毕业生工作与专业相关度、毕业生就业岗位适应性、就业满意度、就业率、对母校的推荐度、对母校的满意度等指标都达到或高于校平均水平，多项指标居首位或前列。</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毕业生对毕业生工作与专业相关度评价连续两年居学校首位（2020届91%，2021届86%）；对就业满意度（80%/76%，学院/学校平均）居全校第二，音乐表演专业毕业生就业满意度（85%）居全校首位；毕业生就业岗位适应性（96%）比第一位低1个百分点；2021届师范类专业毕业要求达成度达到99%，对毕业要求了解度98%，为全校最高；2021届学院毕业生能力证书获证率达到92%，亦为全校最高。数据表明学院在日常的专业教育中对学生的专业认知、专业信念、职业生涯规划等方面的教育效果显著，学生对专业有清晰的认知、强烈的信任和深厚的情怀，同时也能够结合长期的专业及职业做出规划、落实准备。</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我院2021届毕业生对教学的满意度96%，整体教好；对核心课程的重要度（97%），居全校第一，满足度评价（94%）亦排名前列，表明学院的课程设置以及培养效果均较好地符合了实际就业领域的需要，体现了学校及学院对教学工作的充分重视以及对教学常规工作的投入卓有成效。</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我院2021届校友对学校就业服务工作满意度（93%）、学生工作满意度（94%）均超过九成，对母校满意度都为96%，对母校的推荐度在75%左右，超过全校平均水平，位居中上。</w:t>
      </w:r>
    </w:p>
    <w:p>
      <w:pPr>
        <w:pStyle w:val="10"/>
        <w:pBdr>
          <w:bottom w:val="none" w:color="auto" w:sz="0" w:space="0"/>
        </w:pBdr>
        <w:tabs>
          <w:tab w:val="right" w:pos="8674"/>
          <w:tab w:val="clear" w:pos="4153"/>
          <w:tab w:val="clear" w:pos="8306"/>
        </w:tabs>
        <w:spacing w:line="240" w:lineRule="auto"/>
        <w:ind w:firstLine="360" w:firstLineChars="200"/>
        <w:jc w:val="center"/>
        <w:rPr>
          <w:rFonts w:hint="eastAsia" w:ascii="楷体" w:hAnsi="楷体" w:eastAsia="楷体" w:cs="楷体"/>
          <w:color w:val="auto"/>
          <w:sz w:val="18"/>
          <w:szCs w:val="18"/>
          <w:lang w:val="en-US" w:eastAsia="zh-CN"/>
        </w:rPr>
      </w:pPr>
    </w:p>
    <w:p>
      <w:pPr>
        <w:pStyle w:val="10"/>
        <w:pBdr>
          <w:bottom w:val="none" w:color="auto" w:sz="0" w:space="0"/>
        </w:pBdr>
        <w:tabs>
          <w:tab w:val="right" w:pos="8674"/>
          <w:tab w:val="clear" w:pos="4153"/>
          <w:tab w:val="clear" w:pos="8306"/>
        </w:tabs>
        <w:spacing w:line="240" w:lineRule="auto"/>
        <w:ind w:firstLine="360" w:firstLineChars="200"/>
        <w:jc w:val="center"/>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表2 学前教育学院（音乐学院）2018、2019、2020、2021届主要评价指标统</w:t>
      </w:r>
    </w:p>
    <w:p>
      <w:pPr>
        <w:pStyle w:val="10"/>
        <w:pBdr>
          <w:bottom w:val="none" w:color="auto" w:sz="0" w:space="0"/>
        </w:pBdr>
        <w:tabs>
          <w:tab w:val="right" w:pos="8674"/>
          <w:tab w:val="clear" w:pos="4153"/>
          <w:tab w:val="clear" w:pos="8306"/>
        </w:tabs>
        <w:spacing w:line="240" w:lineRule="auto"/>
        <w:ind w:firstLine="360" w:firstLineChars="200"/>
        <w:jc w:val="center"/>
        <w:rPr>
          <w:rFonts w:hint="eastAsia" w:ascii="楷体" w:hAnsi="楷体" w:eastAsia="楷体" w:cs="楷体"/>
          <w:color w:val="auto"/>
          <w:sz w:val="18"/>
          <w:szCs w:val="18"/>
          <w:lang w:val="en-US" w:eastAsia="zh-CN"/>
        </w:rPr>
      </w:pPr>
    </w:p>
    <w:p>
      <w:pPr>
        <w:pStyle w:val="10"/>
        <w:pBdr>
          <w:bottom w:val="none" w:color="auto" w:sz="0" w:space="0"/>
        </w:pBdr>
        <w:tabs>
          <w:tab w:val="right" w:pos="8674"/>
          <w:tab w:val="clear" w:pos="4153"/>
          <w:tab w:val="clear" w:pos="8306"/>
        </w:tabs>
        <w:spacing w:line="240" w:lineRule="auto"/>
        <w:ind w:left="0" w:leftChars="0" w:firstLine="0" w:firstLineChars="0"/>
        <w:jc w:val="center"/>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drawing>
          <wp:inline distT="0" distB="0" distL="114300" distR="114300">
            <wp:extent cx="5608955" cy="3912870"/>
            <wp:effectExtent l="0" t="0" r="14605" b="3810"/>
            <wp:docPr id="1" name="图片 1" descr="167140347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1403470031"/>
                    <pic:cNvPicPr>
                      <a:picLocks noChangeAspect="1"/>
                    </pic:cNvPicPr>
                  </pic:nvPicPr>
                  <pic:blipFill>
                    <a:blip r:embed="rId5"/>
                    <a:stretch>
                      <a:fillRect/>
                    </a:stretch>
                  </pic:blipFill>
                  <pic:spPr>
                    <a:xfrm>
                      <a:off x="0" y="0"/>
                      <a:ext cx="5608955" cy="3912870"/>
                    </a:xfrm>
                    <a:prstGeom prst="rect">
                      <a:avLst/>
                    </a:prstGeom>
                  </pic:spPr>
                </pic:pic>
              </a:graphicData>
            </a:graphic>
          </wp:inline>
        </w:drawing>
      </w:r>
    </w:p>
    <w:p>
      <w:pPr>
        <w:pStyle w:val="10"/>
        <w:pBdr>
          <w:bottom w:val="none" w:color="auto" w:sz="0" w:space="0"/>
        </w:pBdr>
        <w:tabs>
          <w:tab w:val="right" w:pos="8674"/>
          <w:tab w:val="clear" w:pos="4153"/>
          <w:tab w:val="clear" w:pos="8306"/>
        </w:tabs>
        <w:spacing w:line="240" w:lineRule="auto"/>
        <w:ind w:left="0" w:leftChars="0" w:firstLine="0" w:firstLineChars="0"/>
        <w:jc w:val="center"/>
        <w:rPr>
          <w:rFonts w:hint="eastAsia" w:ascii="楷体" w:hAnsi="楷体" w:eastAsia="楷体" w:cs="楷体"/>
          <w:color w:val="auto"/>
          <w:sz w:val="18"/>
          <w:szCs w:val="18"/>
          <w:lang w:val="en-US" w:eastAsia="zh-CN"/>
        </w:rPr>
      </w:pPr>
      <w:r>
        <w:rPr>
          <w:rFonts w:hint="eastAsia" w:ascii="楷体" w:hAnsi="楷体" w:eastAsia="楷体" w:cs="楷体"/>
          <w:b w:val="0"/>
          <w:bCs w:val="0"/>
          <w:color w:val="auto"/>
          <w:sz w:val="18"/>
          <w:szCs w:val="18"/>
          <w:vertAlign w:val="baseline"/>
          <w:lang w:val="en-US" w:eastAsia="zh-CN"/>
        </w:rPr>
        <w:t xml:space="preserve">   注：全国统计数据来源于《2019中国高等职业教育质量年报》数据统计到2018届毕业生；2019年-2020年数据来源于《2021中国职业教育质量年度报告》，“/”表示该格信息相关报告中没有体现，2021届数据未能体现。</w:t>
      </w:r>
    </w:p>
    <w:p>
      <w:pPr>
        <w:pStyle w:val="10"/>
        <w:pBdr>
          <w:bottom w:val="none" w:color="auto" w:sz="0" w:space="0"/>
        </w:pBdr>
        <w:tabs>
          <w:tab w:val="right" w:pos="8674"/>
          <w:tab w:val="clear" w:pos="4153"/>
          <w:tab w:val="clear" w:pos="8306"/>
        </w:tabs>
        <w:spacing w:line="240" w:lineRule="auto"/>
        <w:ind w:left="0" w:leftChars="0" w:firstLine="0" w:firstLineChars="0"/>
        <w:jc w:val="both"/>
        <w:rPr>
          <w:rFonts w:hint="eastAsia" w:ascii="楷体" w:hAnsi="楷体" w:eastAsia="楷体" w:cs="楷体"/>
          <w:color w:val="auto"/>
          <w:sz w:val="18"/>
          <w:szCs w:val="18"/>
          <w:lang w:val="en-US" w:eastAsia="zh-CN"/>
        </w:rPr>
      </w:pPr>
    </w:p>
    <w:p>
      <w:pPr>
        <w:pStyle w:val="32"/>
        <w:keepNext w:val="0"/>
        <w:keepLines w:val="0"/>
        <w:pageBreakBefore w:val="0"/>
        <w:kinsoku/>
        <w:wordWrap/>
        <w:overflowPunct/>
        <w:topLinePunct w:val="0"/>
        <w:autoSpaceDE/>
        <w:autoSpaceDN/>
        <w:bidi w:val="0"/>
        <w:adjustRightInd/>
        <w:spacing w:before="78" w:beforeLines="25" w:after="78" w:afterLines="25" w:line="360" w:lineRule="auto"/>
        <w:ind w:firstLine="482" w:firstLineChars="200"/>
        <w:textAlignment w:val="auto"/>
        <w:rPr>
          <w:rFonts w:hint="eastAsia" w:asciiTheme="minorEastAsia" w:hAnsiTheme="minorEastAsia" w:eastAsiaTheme="minorEastAsia" w:cstheme="minorEastAsia"/>
          <w:color w:val="auto"/>
          <w:sz w:val="24"/>
          <w:szCs w:val="24"/>
          <w:lang w:val="en-US" w:eastAsia="zh-CN"/>
        </w:rPr>
      </w:pPr>
      <w:bookmarkStart w:id="0" w:name="_Toc530658894"/>
      <w:bookmarkStart w:id="1" w:name="_Toc437937097"/>
      <w:bookmarkStart w:id="2" w:name="_Toc31719255"/>
      <w:r>
        <w:rPr>
          <w:rFonts w:hint="eastAsia" w:asciiTheme="minorEastAsia" w:hAnsiTheme="minorEastAsia" w:eastAsiaTheme="minorEastAsia" w:cstheme="minorEastAsia"/>
          <w:color w:val="auto"/>
          <w:sz w:val="24"/>
          <w:szCs w:val="24"/>
        </w:rPr>
        <w:t>（二）</w:t>
      </w:r>
      <w:r>
        <w:rPr>
          <w:rFonts w:hint="eastAsia" w:asciiTheme="minorEastAsia" w:hAnsiTheme="minorEastAsia" w:eastAsiaTheme="minorEastAsia" w:cstheme="minorEastAsia"/>
          <w:color w:val="auto"/>
          <w:sz w:val="24"/>
          <w:szCs w:val="24"/>
          <w:lang w:val="en-US" w:eastAsia="zh-CN"/>
        </w:rPr>
        <w:t>2018~2021纵向比较，升中有变</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2017~2021五届毕业生</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平均就业率达到或略高于学校平均水平，19届、20届略有下降，但是，协议就业率（43.38%、34.03%、11.40%、16.32%、6.82%）连续5年走低，灵活就业率（44.59%、48.80%、58.80%、51.03%、63.39%）和升学出国率（9.63%、13.37%、24.24%、25.47%、27.17%）连续5年持续攀升，体现了疫情对学生就业产生了实质性影响，学生进入长期稳定性的工作岗位机会因疫情减少，从而更多采取灵活方式就业，更多学生投入更高级别学历的学习或选择出国进修。</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与学校平均水平比较，毕业生月收入水平偏低，4届看来整体持续略有提升但不明显，</w:t>
      </w:r>
      <w:r>
        <w:rPr>
          <w:rFonts w:hint="eastAsia" w:asciiTheme="minorEastAsia" w:hAnsiTheme="minorEastAsia" w:eastAsiaTheme="minorEastAsia" w:cstheme="minorEastAsia"/>
          <w:color w:val="auto"/>
          <w:sz w:val="24"/>
          <w:szCs w:val="24"/>
          <w:lang w:val="en-US" w:eastAsia="zh-CN"/>
        </w:rPr>
        <w:t>结合毕业后3年整体收入调研，2017届提升72%，2018届提升80%，整体也低于全校平均水平。但</w:t>
      </w:r>
      <w:r>
        <w:rPr>
          <w:rFonts w:hint="eastAsia" w:asciiTheme="minorEastAsia" w:hAnsiTheme="minorEastAsia" w:eastAsiaTheme="minorEastAsia" w:cstheme="minorEastAsia"/>
          <w:b w:val="0"/>
          <w:bCs w:val="0"/>
          <w:color w:val="auto"/>
          <w:sz w:val="24"/>
          <w:szCs w:val="24"/>
          <w:lang w:val="en-US" w:eastAsia="zh-CN"/>
        </w:rPr>
        <w:t>毕业生对学院的各项</w:t>
      </w:r>
      <w:r>
        <w:rPr>
          <w:rFonts w:hint="eastAsia" w:asciiTheme="minorEastAsia" w:hAnsiTheme="minorEastAsia" w:eastAsiaTheme="minorEastAsia" w:cstheme="minorEastAsia"/>
          <w:b w:val="0"/>
          <w:bCs w:val="0"/>
          <w:color w:val="auto"/>
          <w:sz w:val="24"/>
          <w:szCs w:val="24"/>
        </w:rPr>
        <w:t>评价</w:t>
      </w:r>
      <w:r>
        <w:rPr>
          <w:rFonts w:hint="eastAsia" w:asciiTheme="minorEastAsia" w:hAnsiTheme="minorEastAsia" w:eastAsiaTheme="minorEastAsia" w:cstheme="minorEastAsia"/>
          <w:b w:val="0"/>
          <w:bCs w:val="0"/>
          <w:color w:val="auto"/>
          <w:sz w:val="24"/>
          <w:szCs w:val="24"/>
          <w:lang w:val="en-US" w:eastAsia="zh-CN"/>
        </w:rPr>
        <w:t>却稳中有升：2018、2019、2020、2021届</w:t>
      </w:r>
      <w:r>
        <w:rPr>
          <w:rFonts w:hint="eastAsia" w:asciiTheme="minorEastAsia" w:hAnsiTheme="minorEastAsia" w:eastAsiaTheme="minorEastAsia" w:cstheme="minorEastAsia"/>
          <w:color w:val="auto"/>
          <w:sz w:val="24"/>
          <w:szCs w:val="24"/>
          <w:lang w:val="en-US" w:eastAsia="zh-CN"/>
        </w:rPr>
        <w:t>毕业就业相关度（86%/63%、90%/78%、91%/82%、86%/77%），毕业3年后岗位专业相关度2017届81%、2018届80%，居全校各专业首位；</w:t>
      </w:r>
      <w:r>
        <w:rPr>
          <w:rFonts w:hint="eastAsia" w:asciiTheme="minorEastAsia" w:hAnsiTheme="minorEastAsia" w:eastAsiaTheme="minorEastAsia" w:cstheme="minorEastAsia"/>
          <w:b w:val="0"/>
          <w:bCs w:val="0"/>
          <w:color w:val="auto"/>
          <w:sz w:val="24"/>
          <w:szCs w:val="24"/>
          <w:lang w:val="en-US" w:eastAsia="zh-CN"/>
        </w:rPr>
        <w:t>2018、2019、2020、2021届毕业生对就业现状满意度评价（67%/73%、74%/73%、75%/75%、80%/76%）逐年提升。</w:t>
      </w:r>
      <w:r>
        <w:rPr>
          <w:rFonts w:hint="eastAsia" w:asciiTheme="minorEastAsia" w:hAnsiTheme="minorEastAsia" w:eastAsiaTheme="minorEastAsia" w:cstheme="minorEastAsia"/>
          <w:color w:val="auto"/>
          <w:sz w:val="24"/>
          <w:szCs w:val="24"/>
          <w:lang w:val="en-US" w:eastAsia="zh-CN"/>
        </w:rPr>
        <w:t>数据显示了目前我院毕业生专业职业收入瓶颈，对社会整体提升幼教认知和投入提出了反思；但是，学生离职率低，各类满意度评价高，反映了学生</w:t>
      </w:r>
      <w:r>
        <w:rPr>
          <w:rFonts w:hint="eastAsia" w:asciiTheme="minorEastAsia" w:hAnsiTheme="minorEastAsia" w:eastAsiaTheme="minorEastAsia" w:cstheme="minorEastAsia"/>
          <w:b w:val="0"/>
          <w:bCs w:val="0"/>
          <w:color w:val="auto"/>
          <w:sz w:val="24"/>
          <w:szCs w:val="24"/>
        </w:rPr>
        <w:t>就业稳定性较高</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专业情怀、专业信任度高，</w:t>
      </w:r>
      <w:r>
        <w:rPr>
          <w:rFonts w:hint="eastAsia" w:asciiTheme="minorEastAsia" w:hAnsiTheme="minorEastAsia" w:eastAsiaTheme="minorEastAsia" w:cstheme="minorEastAsia"/>
          <w:color w:val="auto"/>
          <w:sz w:val="24"/>
          <w:szCs w:val="24"/>
          <w:lang w:val="en-US" w:eastAsia="zh-CN"/>
        </w:rPr>
        <w:t>表明学院专业情怀教育的有效性</w:t>
      </w:r>
      <w:r>
        <w:rPr>
          <w:rFonts w:hint="eastAsia" w:asciiTheme="minorEastAsia" w:hAnsiTheme="minorEastAsia" w:eastAsiaTheme="minorEastAsia" w:cstheme="minorEastAsia"/>
          <w:b w:val="0"/>
          <w:bCs w:val="0"/>
          <w:color w:val="auto"/>
          <w:sz w:val="24"/>
          <w:szCs w:val="24"/>
        </w:rPr>
        <w:t>。</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201</w:t>
      </w:r>
      <w:r>
        <w:rPr>
          <w:rFonts w:hint="eastAsia" w:asciiTheme="minorEastAsia" w:hAnsiTheme="minorEastAsia" w:eastAsiaTheme="minorEastAsia" w:cstheme="minorEastAsia"/>
          <w:b w:val="0"/>
          <w:bCs w:val="0"/>
          <w:color w:val="auto"/>
          <w:sz w:val="24"/>
          <w:szCs w:val="24"/>
          <w:lang w:val="en-US" w:eastAsia="zh-CN"/>
        </w:rPr>
        <w:t>8~2021届毕业生</w:t>
      </w:r>
      <w:r>
        <w:rPr>
          <w:rFonts w:hint="eastAsia" w:asciiTheme="minorEastAsia" w:hAnsiTheme="minorEastAsia" w:eastAsiaTheme="minorEastAsia" w:cstheme="minorEastAsia"/>
          <w:color w:val="auto"/>
          <w:sz w:val="24"/>
          <w:szCs w:val="24"/>
          <w:lang w:val="en-US" w:eastAsia="zh-CN"/>
        </w:rPr>
        <w:t>对就业指导服务的总体满意度（93%/92%、94%/93%、92%/92%、93%/91%）均超过</w:t>
      </w:r>
      <w:r>
        <w:rPr>
          <w:rFonts w:hint="eastAsia" w:asciiTheme="minorEastAsia" w:hAnsiTheme="minorEastAsia" w:cstheme="minorEastAsia"/>
          <w:color w:val="auto"/>
          <w:sz w:val="24"/>
          <w:szCs w:val="24"/>
          <w:lang w:val="en-US" w:eastAsia="zh-CN"/>
        </w:rPr>
        <w:t>九</w:t>
      </w:r>
      <w:r>
        <w:rPr>
          <w:rFonts w:hint="eastAsia" w:asciiTheme="minorEastAsia" w:hAnsiTheme="minorEastAsia" w:eastAsiaTheme="minorEastAsia" w:cstheme="minorEastAsia"/>
          <w:color w:val="auto"/>
          <w:sz w:val="24"/>
          <w:szCs w:val="24"/>
          <w:lang w:val="en-US" w:eastAsia="zh-CN"/>
        </w:rPr>
        <w:t>成，其</w:t>
      </w:r>
      <w:r>
        <w:rPr>
          <w:rFonts w:hint="eastAsia" w:asciiTheme="minorEastAsia" w:hAnsiTheme="minorEastAsia" w:eastAsiaTheme="minorEastAsia" w:cstheme="minorEastAsia"/>
          <w:b w:val="0"/>
          <w:bCs w:val="0"/>
          <w:color w:val="auto"/>
          <w:sz w:val="24"/>
          <w:szCs w:val="24"/>
          <w:lang w:val="en-US" w:eastAsia="zh-CN"/>
        </w:rPr>
        <w:t>高位波动，体现了疫情的实际影响，也反映了学院在这方面的努力以及</w:t>
      </w:r>
      <w:r>
        <w:rPr>
          <w:rFonts w:hint="eastAsia" w:asciiTheme="minorEastAsia" w:hAnsiTheme="minorEastAsia" w:eastAsiaTheme="minorEastAsia" w:cstheme="minorEastAsia"/>
          <w:color w:val="auto"/>
          <w:sz w:val="24"/>
          <w:szCs w:val="24"/>
          <w:lang w:val="en-US" w:eastAsia="zh-CN"/>
        </w:rPr>
        <w:t>学生对毕业前的各项就业指导、每年举行的大规模技能展示暨实习推介会等工作的认同与信任，切实有效的为学生实习、就业搭建了平台、做好了准备，</w:t>
      </w:r>
    </w:p>
    <w:p>
      <w:pPr>
        <w:pStyle w:val="32"/>
        <w:keepNext w:val="0"/>
        <w:keepLines w:val="0"/>
        <w:pageBreakBefore w:val="0"/>
        <w:kinsoku/>
        <w:wordWrap/>
        <w:overflowPunct/>
        <w:topLinePunct w:val="0"/>
        <w:autoSpaceDE/>
        <w:autoSpaceDN/>
        <w:bidi w:val="0"/>
        <w:adjustRightInd/>
        <w:spacing w:before="78" w:beforeLines="25" w:after="78" w:afterLines="25" w:line="360" w:lineRule="auto"/>
        <w:ind w:firstLine="480" w:firstLineChars="200"/>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201</w:t>
      </w:r>
      <w:r>
        <w:rPr>
          <w:rFonts w:hint="eastAsia" w:asciiTheme="minorEastAsia" w:hAnsiTheme="minorEastAsia" w:eastAsiaTheme="minorEastAsia" w:cstheme="minorEastAsia"/>
          <w:b w:val="0"/>
          <w:bCs w:val="0"/>
          <w:color w:val="auto"/>
          <w:sz w:val="24"/>
          <w:szCs w:val="24"/>
          <w:lang w:val="en-US" w:eastAsia="zh-CN"/>
        </w:rPr>
        <w:t>8~2021届毕业生</w:t>
      </w:r>
      <w:r>
        <w:rPr>
          <w:rFonts w:hint="eastAsia" w:asciiTheme="minorEastAsia" w:hAnsiTheme="minorEastAsia" w:eastAsiaTheme="minorEastAsia" w:cstheme="minorEastAsia"/>
          <w:b w:val="0"/>
          <w:bCs w:val="0"/>
          <w:color w:val="auto"/>
          <w:sz w:val="24"/>
          <w:szCs w:val="24"/>
        </w:rPr>
        <w:t>对教学的满意度</w:t>
      </w:r>
      <w:r>
        <w:rPr>
          <w:rFonts w:hint="eastAsia" w:asciiTheme="minorEastAsia" w:hAnsiTheme="minorEastAsia" w:eastAsiaTheme="minorEastAsia" w:cstheme="minorEastAsia"/>
          <w:b w:val="0"/>
          <w:bCs w:val="0"/>
          <w:color w:val="auto"/>
          <w:sz w:val="24"/>
          <w:szCs w:val="24"/>
          <w:lang w:val="en-US" w:eastAsia="zh-CN"/>
        </w:rPr>
        <w:t>评价（96%、96%、95%、96%）连续4年稳定在</w:t>
      </w:r>
      <w:r>
        <w:rPr>
          <w:rFonts w:hint="eastAsia" w:asciiTheme="minorEastAsia" w:hAnsiTheme="minorEastAsia" w:eastAsiaTheme="minorEastAsia" w:cstheme="minorEastAsia"/>
          <w:b w:val="0"/>
          <w:bCs w:val="0"/>
          <w:color w:val="auto"/>
          <w:sz w:val="24"/>
          <w:szCs w:val="24"/>
        </w:rPr>
        <w:t>9</w:t>
      </w:r>
      <w:r>
        <w:rPr>
          <w:rFonts w:hint="eastAsia" w:asciiTheme="minorEastAsia" w:hAnsiTheme="minorEastAsia" w:eastAsiaTheme="minorEastAsia" w:cstheme="minorEastAsia"/>
          <w:b w:val="0"/>
          <w:bCs w:val="0"/>
          <w:color w:val="auto"/>
          <w:sz w:val="24"/>
          <w:szCs w:val="24"/>
          <w:lang w:val="en-US" w:eastAsia="zh-CN"/>
        </w:rPr>
        <w:t>5</w:t>
      </w:r>
      <w:r>
        <w:rPr>
          <w:rFonts w:hint="eastAsia" w:asciiTheme="minorEastAsia" w:hAnsiTheme="minorEastAsia" w:eastAsiaTheme="minorEastAsia" w:cstheme="minorEastAsia"/>
          <w:b w:val="0"/>
          <w:bCs w:val="0"/>
          <w:color w:val="auto"/>
          <w:sz w:val="24"/>
          <w:szCs w:val="24"/>
        </w:rPr>
        <w:t>%</w:t>
      </w:r>
      <w:r>
        <w:rPr>
          <w:rFonts w:hint="eastAsia" w:asciiTheme="minorEastAsia" w:hAnsiTheme="minorEastAsia" w:eastAsiaTheme="minorEastAsia" w:cstheme="minorEastAsia"/>
          <w:b w:val="0"/>
          <w:bCs w:val="0"/>
          <w:color w:val="auto"/>
          <w:sz w:val="24"/>
          <w:szCs w:val="24"/>
          <w:lang w:val="en-US" w:eastAsia="zh-CN"/>
        </w:rPr>
        <w:t>以上</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2017~2021五届毕业生毕业后就读本科的比例逐年上升（院/校9.63%/19.94%、13.37%/20.54%、24.24%/28.82%、25.47%/33.30%、27.17%/25.85%）；毕业生对母校的满意度评价（95%、98%、98%、96%）高位稳定；对母校的推荐度评价（59%、67%、73%、75%）亦逐年上升且高于学校平均水平</w:t>
      </w:r>
      <w:r>
        <w:rPr>
          <w:rFonts w:hint="eastAsia" w:asciiTheme="minorEastAsia" w:hAnsiTheme="minorEastAsia" w:eastAsiaTheme="minorEastAsia" w:cstheme="minorEastAsia"/>
          <w:b w:val="0"/>
          <w:bCs w:val="0"/>
          <w:color w:val="auto"/>
          <w:sz w:val="24"/>
          <w:szCs w:val="24"/>
        </w:rPr>
        <w:t>。</w:t>
      </w:r>
      <w:r>
        <w:rPr>
          <w:rFonts w:hint="eastAsia" w:asciiTheme="minorEastAsia" w:hAnsiTheme="minorEastAsia" w:eastAsiaTheme="minorEastAsia" w:cstheme="minorEastAsia"/>
          <w:b w:val="0"/>
          <w:bCs w:val="0"/>
          <w:color w:val="auto"/>
          <w:sz w:val="24"/>
          <w:szCs w:val="24"/>
          <w:lang w:val="en-US" w:eastAsia="zh-CN"/>
        </w:rPr>
        <w:t>充分表明，学院教育教学不断优化，既满足学生求职就业的需求，亦考虑到其专业继续深造的需求，得到了学生的积极认可，提升了学院和学校的社会美誉度与影响力。</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二、就业质量分析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2017~20</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rPr>
        <w:t>届毕业生</w:t>
      </w:r>
      <w:r>
        <w:rPr>
          <w:rFonts w:hint="eastAsia" w:asciiTheme="minorEastAsia" w:hAnsiTheme="minorEastAsia" w:eastAsiaTheme="minorEastAsia" w:cstheme="minorEastAsia"/>
          <w:color w:val="auto"/>
          <w:sz w:val="24"/>
          <w:szCs w:val="24"/>
          <w:lang w:val="en-US" w:eastAsia="zh-CN"/>
        </w:rPr>
        <w:t>整体就业率逐年上升，2021届院/校达到97.37%/97.61%，但各个专业不均衡。心理咨询专业波动起伏较大，2019届只有51.43%，2020届略有回升，2021届又降到76.67%；各专业近两届毕业生协议就业率偏低，特别是音乐教育、音乐表演专业协议就业率2019届均为0,早期教育专业2021届亦为0，同时，数据显示协议就业越低，学生越是偏向于毕业后进一步深造提升学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201</w:t>
      </w: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rPr>
        <w:t>届毕业生选择自主创业的</w:t>
      </w:r>
      <w:r>
        <w:rPr>
          <w:rFonts w:hint="eastAsia" w:asciiTheme="minorEastAsia" w:hAnsiTheme="minorEastAsia" w:eastAsiaTheme="minorEastAsia" w:cstheme="minorEastAsia"/>
          <w:color w:val="auto"/>
          <w:sz w:val="24"/>
          <w:szCs w:val="24"/>
          <w:lang w:val="en-US" w:eastAsia="zh-CN"/>
        </w:rPr>
        <w:t>比率</w:t>
      </w:r>
      <w:r>
        <w:rPr>
          <w:rFonts w:hint="eastAsia" w:asciiTheme="minorEastAsia" w:hAnsiTheme="minorEastAsia" w:eastAsiaTheme="minorEastAsia" w:cstheme="minorEastAsia"/>
          <w:color w:val="auto"/>
          <w:sz w:val="24"/>
          <w:szCs w:val="24"/>
        </w:rPr>
        <w:t>分别为2.6%、3.1%、3.5%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0.16%/0.24%&lt;1.6%&gt;、0%/0.34%&lt;2.4%&gt;</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注：</w:t>
      </w:r>
      <w:r>
        <w:rPr>
          <w:rFonts w:hint="eastAsia" w:asciiTheme="minorEastAsia" w:hAnsiTheme="minorEastAsia" w:eastAsiaTheme="minorEastAsia" w:cstheme="minorEastAsia"/>
          <w:color w:val="auto"/>
          <w:sz w:val="24"/>
          <w:szCs w:val="24"/>
        </w:rPr>
        <w:t>该部分数据</w:t>
      </w:r>
      <w:r>
        <w:rPr>
          <w:rFonts w:hint="eastAsia" w:asciiTheme="minorEastAsia" w:hAnsiTheme="minorEastAsia" w:eastAsiaTheme="minorEastAsia" w:cstheme="minorEastAsia"/>
          <w:color w:val="auto"/>
          <w:sz w:val="24"/>
          <w:szCs w:val="24"/>
          <w:lang w:val="en-US" w:eastAsia="zh-CN"/>
        </w:rPr>
        <w:t>2020年以前</w:t>
      </w:r>
      <w:r>
        <w:rPr>
          <w:rFonts w:hint="eastAsia" w:asciiTheme="minorEastAsia" w:hAnsiTheme="minorEastAsia" w:eastAsiaTheme="minorEastAsia" w:cstheme="minorEastAsia"/>
          <w:color w:val="auto"/>
          <w:sz w:val="24"/>
          <w:szCs w:val="24"/>
        </w:rPr>
        <w:t>没有具体到学院</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数据参照麦可思报告数据，20年以后数据学校统计和麦可思有差别&lt;&gt;内为麦可思数据</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升</w:t>
      </w:r>
      <w:r>
        <w:rPr>
          <w:rFonts w:hint="eastAsia" w:asciiTheme="minorEastAsia" w:hAnsiTheme="minorEastAsia" w:eastAsiaTheme="minorEastAsia" w:cstheme="minorEastAsia"/>
          <w:color w:val="auto"/>
          <w:sz w:val="24"/>
          <w:szCs w:val="24"/>
          <w:lang w:val="en-US" w:eastAsia="zh-CN"/>
        </w:rPr>
        <w:t>中略有波动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毕业生主要因个人理想而选择创业，创业启动资金主要来源于父母或亲友支持；毕业生实际创业的职业类以教育类为主，</w:t>
      </w:r>
      <w:r>
        <w:rPr>
          <w:rFonts w:hint="eastAsia" w:asciiTheme="minorEastAsia" w:hAnsiTheme="minorEastAsia" w:eastAsiaTheme="minorEastAsia" w:cstheme="minorEastAsia"/>
          <w:color w:val="auto"/>
          <w:sz w:val="24"/>
          <w:szCs w:val="24"/>
          <w:lang w:val="en-US" w:eastAsia="zh-CN"/>
        </w:rPr>
        <w:t>但是2020年以来由于疫情冲击，学生创业意愿明显下降，更多选择继续深造提升学历</w:t>
      </w:r>
      <w:r>
        <w:rPr>
          <w:rFonts w:hint="eastAsia" w:asciiTheme="minorEastAsia" w:hAnsiTheme="minorEastAsia" w:eastAsiaTheme="minorEastAsia" w:cstheme="minorEastAsia"/>
          <w:color w:val="auto"/>
          <w:sz w:val="24"/>
          <w:szCs w:val="24"/>
        </w:rPr>
        <w:t>。</w:t>
      </w:r>
      <w:bookmarkStart w:id="3" w:name="_Toc31719234"/>
      <w:bookmarkStart w:id="4" w:name="_Toc530658871"/>
    </w:p>
    <w:bookmarkEnd w:id="3"/>
    <w:bookmarkEnd w:id="4"/>
    <w:p>
      <w:pPr>
        <w:spacing w:line="360" w:lineRule="auto"/>
        <w:ind w:firstLine="360" w:firstLineChars="200"/>
        <w:jc w:val="center"/>
        <w:rPr>
          <w:rFonts w:hint="eastAsia" w:ascii="宋体" w:hAnsi="宋体" w:eastAsia="宋体" w:cs="宋体"/>
          <w:b w:val="0"/>
          <w:bCs w:val="0"/>
          <w:i w:val="0"/>
          <w:color w:val="auto"/>
          <w:kern w:val="0"/>
          <w:sz w:val="21"/>
          <w:szCs w:val="21"/>
          <w:u w:val="none"/>
          <w:lang w:val="en-US" w:eastAsia="zh-CN" w:bidi="ar"/>
        </w:rPr>
      </w:pPr>
      <w:r>
        <w:rPr>
          <w:rFonts w:hint="eastAsia" w:ascii="楷体" w:hAnsi="楷体" w:eastAsia="楷体" w:cs="楷体"/>
          <w:color w:val="auto"/>
          <w:kern w:val="2"/>
          <w:sz w:val="18"/>
          <w:szCs w:val="18"/>
          <w:lang w:val="en-US" w:eastAsia="zh-CN" w:bidi="ar-SA"/>
        </w:rPr>
        <w:t>表3 2017~2021届毕业生学校及本院各专业年终就业率情况汇总表</w:t>
      </w:r>
    </w:p>
    <w:p>
      <w:pPr>
        <w:spacing w:line="240" w:lineRule="auto"/>
        <w:jc w:val="center"/>
        <w:rPr>
          <w:rFonts w:hint="eastAsia" w:asciiTheme="minorEastAsia" w:hAnsiTheme="minorEastAsia" w:cstheme="minorEastAsia"/>
          <w:b w:val="0"/>
          <w:bCs w:val="0"/>
          <w:color w:val="auto"/>
          <w:sz w:val="18"/>
          <w:szCs w:val="18"/>
          <w:lang w:val="en-US" w:eastAsia="zh-CN"/>
        </w:rPr>
      </w:pPr>
      <w:r>
        <w:rPr>
          <w:rFonts w:hint="eastAsia" w:asciiTheme="minorEastAsia" w:hAnsiTheme="minorEastAsia" w:cstheme="minorEastAsia"/>
          <w:b w:val="0"/>
          <w:bCs w:val="0"/>
          <w:color w:val="auto"/>
          <w:sz w:val="18"/>
          <w:szCs w:val="18"/>
          <w:lang w:val="en-US" w:eastAsia="zh-CN"/>
        </w:rPr>
        <w:drawing>
          <wp:inline distT="0" distB="0" distL="114300" distR="114300">
            <wp:extent cx="5100320" cy="1915160"/>
            <wp:effectExtent l="0" t="0" r="5080" b="5080"/>
            <wp:docPr id="2" name="图片 2" descr="167105479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1054799089"/>
                    <pic:cNvPicPr>
                      <a:picLocks noChangeAspect="1"/>
                    </pic:cNvPicPr>
                  </pic:nvPicPr>
                  <pic:blipFill>
                    <a:blip r:embed="rId6"/>
                    <a:stretch>
                      <a:fillRect/>
                    </a:stretch>
                  </pic:blipFill>
                  <pic:spPr>
                    <a:xfrm>
                      <a:off x="0" y="0"/>
                      <a:ext cx="5100320" cy="1915160"/>
                    </a:xfrm>
                    <a:prstGeom prst="rect">
                      <a:avLst/>
                    </a:prstGeom>
                  </pic:spPr>
                </pic:pic>
              </a:graphicData>
            </a:graphic>
          </wp:inline>
        </w:drawing>
      </w:r>
    </w:p>
    <w:p>
      <w:pPr>
        <w:spacing w:line="240" w:lineRule="auto"/>
        <w:rPr>
          <w:rFonts w:hint="default" w:asciiTheme="minorEastAsia" w:hAnsiTheme="minorEastAsia" w:cstheme="minorEastAsia"/>
          <w:b w:val="0"/>
          <w:bCs w:val="0"/>
          <w:color w:val="auto"/>
          <w:sz w:val="18"/>
          <w:szCs w:val="18"/>
          <w:lang w:val="en-US" w:eastAsia="zh-CN"/>
        </w:rPr>
      </w:pPr>
      <w:r>
        <w:rPr>
          <w:rFonts w:hint="eastAsia" w:asciiTheme="minorEastAsia" w:hAnsiTheme="minorEastAsia" w:cstheme="minorEastAsia"/>
          <w:b w:val="0"/>
          <w:bCs w:val="0"/>
          <w:color w:val="auto"/>
          <w:sz w:val="18"/>
          <w:szCs w:val="18"/>
          <w:lang w:val="en-US" w:eastAsia="zh-CN"/>
        </w:rPr>
        <w:t>注：2020级开始，协议就业率和合同就业率合并；增加了创业率（学前教育专业2人，占专业比0.18%，占学院比0.16%,本表归并与灵活就业率）</w:t>
      </w:r>
    </w:p>
    <w:p>
      <w:pPr>
        <w:pStyle w:val="5"/>
        <w:spacing w:line="360" w:lineRule="auto"/>
        <w:ind w:left="0"/>
        <w:jc w:val="center"/>
        <w:rPr>
          <w:rFonts w:ascii="Times New Roman" w:hAnsi="Times New Roman" w:eastAsia="宋体"/>
          <w:b w:val="0"/>
          <w:color w:val="auto"/>
          <w:kern w:val="0"/>
          <w:sz w:val="20"/>
          <w:szCs w:val="20"/>
        </w:rPr>
      </w:pPr>
      <w:bookmarkStart w:id="5" w:name="_Toc31719236"/>
    </w:p>
    <w:bookmarkEnd w:id="5"/>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rPr>
        <w:t>三、教学培养过程反馈</w:t>
      </w:r>
      <w:r>
        <w:rPr>
          <w:rFonts w:hint="eastAsia" w:asciiTheme="minorEastAsia" w:hAnsiTheme="minorEastAsia" w:eastAsiaTheme="minorEastAsia" w:cstheme="minorEastAsia"/>
          <w:b/>
          <w:bCs/>
          <w:color w:val="auto"/>
          <w:sz w:val="24"/>
          <w:szCs w:val="24"/>
          <w:lang w:val="en-US" w:eastAsia="zh-CN"/>
        </w:rPr>
        <w:t>分析</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rPr>
        <w:t>（一）教学满意度评价</w:t>
      </w:r>
      <w:r>
        <w:rPr>
          <w:rFonts w:hint="eastAsia" w:asciiTheme="minorEastAsia" w:hAnsiTheme="minorEastAsia" w:eastAsiaTheme="minorEastAsia" w:cstheme="minorEastAsia"/>
          <w:b/>
          <w:bCs/>
          <w:color w:val="auto"/>
          <w:sz w:val="24"/>
          <w:szCs w:val="24"/>
          <w:lang w:val="en-US" w:eastAsia="zh-CN"/>
        </w:rPr>
        <w:t>分析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教学满意度是衡量</w:t>
      </w:r>
      <w:r>
        <w:rPr>
          <w:rFonts w:hint="eastAsia" w:asciiTheme="minorEastAsia" w:hAnsiTheme="minorEastAsia" w:eastAsiaTheme="minorEastAsia" w:cstheme="minorEastAsia"/>
          <w:color w:val="auto"/>
          <w:sz w:val="24"/>
          <w:szCs w:val="24"/>
          <w:lang w:val="en-US" w:eastAsia="zh-CN"/>
        </w:rPr>
        <w:t>人才培养的重要指标，是学生对</w:t>
      </w:r>
      <w:r>
        <w:rPr>
          <w:rFonts w:hint="eastAsia" w:asciiTheme="minorEastAsia" w:hAnsiTheme="minorEastAsia" w:eastAsiaTheme="minorEastAsia" w:cstheme="minorEastAsia"/>
          <w:color w:val="auto"/>
          <w:sz w:val="24"/>
          <w:szCs w:val="24"/>
        </w:rPr>
        <w:t>在</w:t>
      </w:r>
      <w:r>
        <w:rPr>
          <w:rFonts w:hint="eastAsia" w:asciiTheme="minorEastAsia" w:hAnsiTheme="minorEastAsia" w:eastAsiaTheme="minorEastAsia" w:cstheme="minorEastAsia"/>
          <w:color w:val="auto"/>
          <w:sz w:val="24"/>
          <w:szCs w:val="24"/>
          <w:lang w:val="en-US" w:eastAsia="zh-CN"/>
        </w:rPr>
        <w:t>读期间专业教学的理念、规划、</w:t>
      </w:r>
      <w:r>
        <w:rPr>
          <w:rFonts w:hint="eastAsia" w:asciiTheme="minorEastAsia" w:hAnsiTheme="minorEastAsia" w:eastAsiaTheme="minorEastAsia" w:cstheme="minorEastAsia"/>
          <w:color w:val="auto"/>
          <w:sz w:val="24"/>
          <w:szCs w:val="24"/>
        </w:rPr>
        <w:t>内容、方法、</w:t>
      </w:r>
      <w:r>
        <w:rPr>
          <w:rFonts w:hint="eastAsia" w:asciiTheme="minorEastAsia" w:hAnsiTheme="minorEastAsia" w:eastAsiaTheme="minorEastAsia" w:cstheme="minorEastAsia"/>
          <w:color w:val="auto"/>
          <w:sz w:val="24"/>
          <w:szCs w:val="24"/>
          <w:lang w:val="en-US" w:eastAsia="zh-CN"/>
        </w:rPr>
        <w:t>手段、</w:t>
      </w:r>
      <w:r>
        <w:rPr>
          <w:rFonts w:hint="eastAsia" w:asciiTheme="minorEastAsia" w:hAnsiTheme="minorEastAsia" w:eastAsiaTheme="minorEastAsia" w:cstheme="minorEastAsia"/>
          <w:color w:val="auto"/>
          <w:sz w:val="24"/>
          <w:szCs w:val="24"/>
        </w:rPr>
        <w:t>效果</w:t>
      </w:r>
      <w:r>
        <w:rPr>
          <w:rFonts w:hint="eastAsia" w:asciiTheme="minorEastAsia" w:hAnsiTheme="minorEastAsia" w:eastAsiaTheme="minorEastAsia" w:cstheme="minorEastAsia"/>
          <w:color w:val="auto"/>
          <w:sz w:val="24"/>
          <w:szCs w:val="24"/>
          <w:lang w:val="en-US" w:eastAsia="zh-CN"/>
        </w:rPr>
        <w:t>以及</w:t>
      </w:r>
      <w:r>
        <w:rPr>
          <w:rFonts w:hint="eastAsia" w:asciiTheme="minorEastAsia" w:hAnsiTheme="minorEastAsia" w:eastAsiaTheme="minorEastAsia" w:cstheme="minorEastAsia"/>
          <w:color w:val="auto"/>
          <w:sz w:val="24"/>
          <w:szCs w:val="24"/>
        </w:rPr>
        <w:t>教师</w:t>
      </w:r>
      <w:r>
        <w:rPr>
          <w:rFonts w:hint="eastAsia" w:asciiTheme="minorEastAsia" w:hAnsiTheme="minorEastAsia" w:eastAsiaTheme="minorEastAsia" w:cstheme="minorEastAsia"/>
          <w:color w:val="auto"/>
          <w:sz w:val="24"/>
          <w:szCs w:val="24"/>
          <w:lang w:eastAsia="zh-CN"/>
        </w:rPr>
        <w:t>的</w:t>
      </w:r>
      <w:r>
        <w:rPr>
          <w:rFonts w:hint="eastAsia" w:asciiTheme="minorEastAsia" w:hAnsiTheme="minorEastAsia" w:eastAsiaTheme="minorEastAsia" w:cstheme="minorEastAsia"/>
          <w:color w:val="auto"/>
          <w:sz w:val="24"/>
          <w:szCs w:val="24"/>
        </w:rPr>
        <w:t>能力素质水平</w:t>
      </w:r>
      <w:r>
        <w:rPr>
          <w:rFonts w:hint="eastAsia" w:asciiTheme="minorEastAsia" w:hAnsiTheme="minorEastAsia" w:eastAsiaTheme="minorEastAsia" w:cstheme="minorEastAsia"/>
          <w:color w:val="auto"/>
          <w:sz w:val="24"/>
          <w:szCs w:val="24"/>
          <w:lang w:eastAsia="zh-CN"/>
        </w:rPr>
        <w:t>的</w:t>
      </w:r>
      <w:r>
        <w:rPr>
          <w:rFonts w:hint="eastAsia" w:asciiTheme="minorEastAsia" w:hAnsiTheme="minorEastAsia" w:eastAsiaTheme="minorEastAsia" w:cstheme="minorEastAsia"/>
          <w:color w:val="auto"/>
          <w:sz w:val="24"/>
          <w:szCs w:val="24"/>
          <w:lang w:val="en-US" w:eastAsia="zh-CN"/>
        </w:rPr>
        <w:t>全面评价</w:t>
      </w:r>
      <w:r>
        <w:rPr>
          <w:rFonts w:hint="eastAsia" w:asciiTheme="minorEastAsia" w:hAnsiTheme="minorEastAsia" w:eastAsiaTheme="minorEastAsia" w:cstheme="minorEastAsia"/>
          <w:color w:val="auto"/>
          <w:sz w:val="24"/>
          <w:szCs w:val="24"/>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我院</w:t>
      </w:r>
      <w:r>
        <w:rPr>
          <w:rFonts w:hint="eastAsia" w:asciiTheme="minorEastAsia" w:hAnsiTheme="minorEastAsia" w:eastAsiaTheme="minorEastAsia" w:cstheme="minorEastAsia"/>
          <w:b w:val="0"/>
          <w:bCs w:val="0"/>
          <w:color w:val="auto"/>
          <w:sz w:val="24"/>
          <w:szCs w:val="24"/>
        </w:rPr>
        <w:t>201</w:t>
      </w:r>
      <w:r>
        <w:rPr>
          <w:rFonts w:hint="eastAsia" w:asciiTheme="minorEastAsia" w:hAnsiTheme="minorEastAsia" w:eastAsiaTheme="minorEastAsia" w:cstheme="minorEastAsia"/>
          <w:b w:val="0"/>
          <w:bCs w:val="0"/>
          <w:color w:val="auto"/>
          <w:sz w:val="24"/>
          <w:szCs w:val="24"/>
          <w:lang w:val="en-US" w:eastAsia="zh-CN"/>
        </w:rPr>
        <w:t>8~2021届毕业生</w:t>
      </w:r>
      <w:r>
        <w:rPr>
          <w:rFonts w:hint="eastAsia" w:asciiTheme="minorEastAsia" w:hAnsiTheme="minorEastAsia" w:eastAsiaTheme="minorEastAsia" w:cstheme="minorEastAsia"/>
          <w:b w:val="0"/>
          <w:bCs w:val="0"/>
          <w:color w:val="auto"/>
          <w:sz w:val="24"/>
          <w:szCs w:val="24"/>
        </w:rPr>
        <w:t>对教学的满意度</w:t>
      </w:r>
      <w:r>
        <w:rPr>
          <w:rFonts w:hint="eastAsia" w:asciiTheme="minorEastAsia" w:hAnsiTheme="minorEastAsia" w:eastAsiaTheme="minorEastAsia" w:cstheme="minorEastAsia"/>
          <w:b w:val="0"/>
          <w:bCs w:val="0"/>
          <w:color w:val="auto"/>
          <w:sz w:val="24"/>
          <w:szCs w:val="24"/>
          <w:lang w:val="en-US" w:eastAsia="zh-CN"/>
        </w:rPr>
        <w:t>评价（96%、96%、95%、96%）连续4年稳定在</w:t>
      </w:r>
      <w:r>
        <w:rPr>
          <w:rFonts w:hint="eastAsia" w:asciiTheme="minorEastAsia" w:hAnsiTheme="minorEastAsia" w:eastAsiaTheme="minorEastAsia" w:cstheme="minorEastAsia"/>
          <w:b w:val="0"/>
          <w:bCs w:val="0"/>
          <w:color w:val="auto"/>
          <w:sz w:val="24"/>
          <w:szCs w:val="24"/>
        </w:rPr>
        <w:t>9</w:t>
      </w:r>
      <w:r>
        <w:rPr>
          <w:rFonts w:hint="eastAsia" w:asciiTheme="minorEastAsia" w:hAnsiTheme="minorEastAsia" w:eastAsiaTheme="minorEastAsia" w:cstheme="minorEastAsia"/>
          <w:b w:val="0"/>
          <w:bCs w:val="0"/>
          <w:color w:val="auto"/>
          <w:sz w:val="24"/>
          <w:szCs w:val="24"/>
          <w:lang w:val="en-US" w:eastAsia="zh-CN"/>
        </w:rPr>
        <w:t>5</w:t>
      </w:r>
      <w:r>
        <w:rPr>
          <w:rFonts w:hint="eastAsia" w:asciiTheme="minorEastAsia" w:hAnsiTheme="minorEastAsia" w:eastAsiaTheme="minorEastAsia" w:cstheme="minorEastAsia"/>
          <w:b w:val="0"/>
          <w:bCs w:val="0"/>
          <w:color w:val="auto"/>
          <w:sz w:val="24"/>
          <w:szCs w:val="24"/>
        </w:rPr>
        <w:t>%</w:t>
      </w:r>
      <w:r>
        <w:rPr>
          <w:rFonts w:hint="eastAsia" w:asciiTheme="minorEastAsia" w:hAnsiTheme="minorEastAsia" w:eastAsiaTheme="minorEastAsia" w:cstheme="minorEastAsia"/>
          <w:b w:val="0"/>
          <w:bCs w:val="0"/>
          <w:color w:val="auto"/>
          <w:sz w:val="24"/>
          <w:szCs w:val="24"/>
          <w:lang w:val="en-US" w:eastAsia="zh-CN"/>
        </w:rPr>
        <w:t>及以上</w:t>
      </w:r>
      <w:r>
        <w:rPr>
          <w:rFonts w:hint="eastAsia" w:asciiTheme="minorEastAsia" w:hAnsiTheme="minorEastAsia" w:eastAsiaTheme="minorEastAsia" w:cstheme="minorEastAsia"/>
          <w:color w:val="auto"/>
          <w:sz w:val="24"/>
          <w:szCs w:val="24"/>
          <w:lang w:val="en-US" w:eastAsia="zh-CN"/>
        </w:rPr>
        <w:t>，表明</w:t>
      </w:r>
      <w:r>
        <w:rPr>
          <w:rFonts w:hint="eastAsia" w:asciiTheme="minorEastAsia" w:hAnsiTheme="minorEastAsia" w:eastAsiaTheme="minorEastAsia" w:cstheme="minorEastAsia"/>
          <w:color w:val="auto"/>
          <w:sz w:val="24"/>
          <w:szCs w:val="24"/>
        </w:rPr>
        <w:t>学生</w:t>
      </w:r>
      <w:r>
        <w:rPr>
          <w:rFonts w:hint="eastAsia" w:asciiTheme="minorEastAsia" w:hAnsiTheme="minorEastAsia" w:eastAsiaTheme="minorEastAsia" w:cstheme="minorEastAsia"/>
          <w:color w:val="auto"/>
          <w:sz w:val="24"/>
          <w:szCs w:val="24"/>
          <w:lang w:val="en-US" w:eastAsia="zh-CN"/>
        </w:rPr>
        <w:t>对学</w:t>
      </w:r>
      <w:r>
        <w:rPr>
          <w:rFonts w:hint="eastAsia" w:asciiTheme="minorEastAsia" w:hAnsiTheme="minorEastAsia" w:eastAsiaTheme="minorEastAsia" w:cstheme="minorEastAsia"/>
          <w:color w:val="auto"/>
          <w:sz w:val="24"/>
          <w:szCs w:val="24"/>
        </w:rPr>
        <w:t>院</w:t>
      </w:r>
      <w:r>
        <w:rPr>
          <w:rFonts w:hint="eastAsia" w:asciiTheme="minorEastAsia" w:hAnsiTheme="minorEastAsia" w:eastAsiaTheme="minorEastAsia" w:cstheme="minorEastAsia"/>
          <w:color w:val="auto"/>
          <w:sz w:val="24"/>
          <w:szCs w:val="24"/>
          <w:lang w:val="en-US" w:eastAsia="zh-CN"/>
        </w:rPr>
        <w:t>教育教学</w:t>
      </w:r>
      <w:r>
        <w:rPr>
          <w:rFonts w:hint="eastAsia" w:asciiTheme="minorEastAsia" w:hAnsiTheme="minorEastAsia" w:eastAsiaTheme="minorEastAsia" w:cstheme="minorEastAsia"/>
          <w:color w:val="auto"/>
          <w:sz w:val="24"/>
          <w:szCs w:val="24"/>
        </w:rPr>
        <w:t>的</w:t>
      </w:r>
      <w:r>
        <w:rPr>
          <w:rFonts w:hint="eastAsia" w:asciiTheme="minorEastAsia" w:hAnsiTheme="minorEastAsia" w:eastAsiaTheme="minorEastAsia" w:cstheme="minorEastAsia"/>
          <w:color w:val="auto"/>
          <w:sz w:val="24"/>
          <w:szCs w:val="24"/>
          <w:lang w:val="en-US" w:eastAsia="zh-CN"/>
        </w:rPr>
        <w:t>持续</w:t>
      </w:r>
      <w:r>
        <w:rPr>
          <w:rFonts w:hint="eastAsia" w:asciiTheme="minorEastAsia" w:hAnsiTheme="minorEastAsia" w:eastAsiaTheme="minorEastAsia" w:cstheme="minorEastAsia"/>
          <w:color w:val="auto"/>
          <w:sz w:val="24"/>
          <w:szCs w:val="24"/>
        </w:rPr>
        <w:t>高度认可。</w:t>
      </w:r>
    </w:p>
    <w:p>
      <w:pPr>
        <w:spacing w:line="240" w:lineRule="auto"/>
        <w:ind w:firstLine="360" w:firstLineChars="200"/>
        <w:jc w:val="center"/>
        <w:rPr>
          <w:rFonts w:hint="eastAsia" w:asciiTheme="minorEastAsia" w:hAnsiTheme="minorEastAsia" w:cstheme="minorEastAsia"/>
          <w:color w:val="auto"/>
          <w:sz w:val="21"/>
          <w:szCs w:val="21"/>
        </w:rPr>
      </w:pPr>
      <w:r>
        <w:rPr>
          <w:rFonts w:hint="eastAsia" w:ascii="楷体" w:hAnsi="楷体" w:eastAsia="楷体" w:cs="楷体"/>
          <w:color w:val="auto"/>
          <w:kern w:val="2"/>
          <w:sz w:val="18"/>
          <w:szCs w:val="18"/>
          <w:lang w:val="en-US" w:eastAsia="zh-CN" w:bidi="ar-SA"/>
        </w:rPr>
        <w:t>图1 2017~2021届毕业生学校及本院各专业年终就业率情况汇总表</w:t>
      </w:r>
    </w:p>
    <w:p>
      <w:pPr>
        <w:spacing w:line="240" w:lineRule="auto"/>
        <w:ind w:firstLine="420" w:firstLineChars="20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drawing>
          <wp:inline distT="0" distB="0" distL="114300" distR="114300">
            <wp:extent cx="3345180" cy="839470"/>
            <wp:effectExtent l="9525" t="9525" r="13335" b="19685"/>
            <wp:docPr id="11" name="图片 11" descr="167117428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1174286812"/>
                    <pic:cNvPicPr>
                      <a:picLocks noChangeAspect="1"/>
                    </pic:cNvPicPr>
                  </pic:nvPicPr>
                  <pic:blipFill>
                    <a:blip r:embed="rId7"/>
                    <a:srcRect r="866"/>
                    <a:stretch>
                      <a:fillRect/>
                    </a:stretch>
                  </pic:blipFill>
                  <pic:spPr>
                    <a:xfrm>
                      <a:off x="0" y="0"/>
                      <a:ext cx="3345180" cy="839470"/>
                    </a:xfrm>
                    <a:prstGeom prst="rect">
                      <a:avLst/>
                    </a:prstGeom>
                    <a:ln w="3175">
                      <a:solidFill>
                        <a:schemeClr val="tx1"/>
                      </a:solidFill>
                      <a:prstDash val="sysDot"/>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cstheme="minorEastAsia"/>
          <w:b/>
          <w:bCs/>
          <w:color w:val="auto"/>
          <w:sz w:val="24"/>
          <w:szCs w:val="24"/>
        </w:rPr>
        <w:t>（二）专业核心课程有效性综合评价</w:t>
      </w:r>
      <w:r>
        <w:rPr>
          <w:rFonts w:hint="eastAsia" w:asciiTheme="minorEastAsia" w:hAnsiTheme="minorEastAsia" w:cstheme="minorEastAsia"/>
          <w:b/>
          <w:bCs/>
          <w:color w:val="auto"/>
          <w:sz w:val="24"/>
          <w:szCs w:val="24"/>
          <w:lang w:val="en-US" w:eastAsia="zh-CN"/>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核心</w:t>
      </w:r>
      <w:r>
        <w:rPr>
          <w:rFonts w:hint="eastAsia" w:asciiTheme="minorEastAsia" w:hAnsiTheme="minorEastAsia" w:cstheme="minorEastAsia"/>
          <w:color w:val="auto"/>
          <w:sz w:val="24"/>
          <w:szCs w:val="24"/>
        </w:rPr>
        <w:t>课程重要度</w:t>
      </w:r>
      <w:r>
        <w:rPr>
          <w:rFonts w:hint="eastAsia" w:asciiTheme="minorEastAsia" w:hAnsiTheme="minorEastAsia" w:cstheme="minorEastAsia"/>
          <w:color w:val="auto"/>
          <w:sz w:val="24"/>
          <w:szCs w:val="24"/>
          <w:lang w:val="en-US" w:eastAsia="zh-CN"/>
        </w:rPr>
        <w:t>和满足度</w:t>
      </w:r>
      <w:r>
        <w:rPr>
          <w:rFonts w:hint="eastAsia" w:asciiTheme="minorEastAsia" w:hAnsiTheme="minorEastAsia" w:cstheme="minorEastAsia"/>
          <w:color w:val="auto"/>
          <w:sz w:val="24"/>
          <w:szCs w:val="24"/>
        </w:rPr>
        <w:t>反映了课程设置与专业人才培养的需求以及社会行业职业需求</w:t>
      </w:r>
      <w:r>
        <w:rPr>
          <w:rFonts w:hint="eastAsia" w:asciiTheme="minorEastAsia" w:hAnsiTheme="minorEastAsia" w:cstheme="minorEastAsia"/>
          <w:color w:val="auto"/>
          <w:sz w:val="24"/>
          <w:szCs w:val="24"/>
          <w:lang w:eastAsia="zh-CN"/>
        </w:rPr>
        <w:t>的</w:t>
      </w:r>
      <w:r>
        <w:rPr>
          <w:rFonts w:hint="eastAsia" w:asciiTheme="minorEastAsia" w:hAnsiTheme="minorEastAsia" w:cstheme="minorEastAsia"/>
          <w:color w:val="auto"/>
          <w:sz w:val="24"/>
          <w:szCs w:val="24"/>
        </w:rPr>
        <w:t>匹配</w:t>
      </w:r>
      <w:r>
        <w:rPr>
          <w:rFonts w:hint="eastAsia" w:asciiTheme="minorEastAsia" w:hAnsiTheme="minorEastAsia" w:cstheme="minorEastAsia"/>
          <w:color w:val="auto"/>
          <w:sz w:val="24"/>
          <w:szCs w:val="24"/>
          <w:lang w:val="en-US" w:eastAsia="zh-CN"/>
        </w:rPr>
        <w:t>度</w:t>
      </w: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val="en-US" w:eastAsia="zh-CN"/>
        </w:rPr>
        <w:t>亦</w:t>
      </w:r>
      <w:r>
        <w:rPr>
          <w:rFonts w:hint="eastAsia" w:asciiTheme="minorEastAsia" w:hAnsiTheme="minorEastAsia" w:cstheme="minorEastAsia"/>
          <w:color w:val="auto"/>
          <w:sz w:val="24"/>
          <w:szCs w:val="24"/>
        </w:rPr>
        <w:t>反映了课程教学效果</w:t>
      </w:r>
      <w:r>
        <w:rPr>
          <w:rFonts w:hint="eastAsia" w:asciiTheme="minorEastAsia" w:hAnsiTheme="minorEastAsia" w:cstheme="minorEastAsia"/>
          <w:color w:val="auto"/>
          <w:sz w:val="24"/>
          <w:szCs w:val="24"/>
          <w:lang w:val="en-US" w:eastAsia="zh-CN"/>
        </w:rPr>
        <w:t>满足实际就业领域的需要</w:t>
      </w:r>
      <w:r>
        <w:rPr>
          <w:rFonts w:hint="eastAsia" w:asciiTheme="minorEastAsia" w:hAnsiTheme="minorEastAsia" w:cstheme="minorEastAsia"/>
          <w:color w:val="auto"/>
          <w:sz w:val="24"/>
          <w:szCs w:val="24"/>
          <w:lang w:eastAsia="zh-CN"/>
        </w:rPr>
        <w:t>，同时</w:t>
      </w:r>
      <w:r>
        <w:rPr>
          <w:rFonts w:hint="eastAsia" w:asciiTheme="minorEastAsia" w:hAnsiTheme="minorEastAsia" w:cstheme="minorEastAsia"/>
          <w:color w:val="auto"/>
          <w:sz w:val="24"/>
          <w:szCs w:val="24"/>
          <w:lang w:val="en-US" w:eastAsia="zh-CN"/>
        </w:rPr>
        <w:t>体现</w:t>
      </w:r>
      <w:r>
        <w:rPr>
          <w:rFonts w:hint="eastAsia" w:asciiTheme="minorEastAsia" w:hAnsiTheme="minorEastAsia" w:cstheme="minorEastAsia"/>
          <w:color w:val="auto"/>
          <w:sz w:val="24"/>
          <w:szCs w:val="24"/>
          <w:lang w:eastAsia="zh-CN"/>
        </w:rPr>
        <w:t>课程教学与人才培养</w:t>
      </w:r>
      <w:r>
        <w:rPr>
          <w:rFonts w:hint="eastAsia" w:asciiTheme="minorEastAsia" w:hAnsiTheme="minorEastAsia" w:cstheme="minorEastAsia"/>
          <w:color w:val="auto"/>
          <w:sz w:val="24"/>
          <w:szCs w:val="24"/>
          <w:lang w:val="en-US" w:eastAsia="zh-CN"/>
        </w:rPr>
        <w:t>对时代的跟进</w:t>
      </w:r>
      <w:r>
        <w:rPr>
          <w:rFonts w:hint="eastAsia" w:asciiTheme="minorEastAsia" w:hAnsiTheme="minorEastAsia" w:cstheme="minor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rPr>
        <w:t>数据显示，我</w:t>
      </w:r>
      <w:r>
        <w:rPr>
          <w:rFonts w:hint="eastAsia" w:asciiTheme="minorEastAsia" w:hAnsiTheme="minorEastAsia" w:cstheme="minorEastAsia"/>
          <w:color w:val="auto"/>
          <w:sz w:val="24"/>
          <w:szCs w:val="24"/>
          <w:lang w:val="en-US" w:eastAsia="zh-CN"/>
        </w:rPr>
        <w:t>院2020</w:t>
      </w:r>
      <w:r>
        <w:rPr>
          <w:rFonts w:hint="eastAsia" w:asciiTheme="minorEastAsia" w:hAnsiTheme="minorEastAsia" w:cstheme="minorEastAsia"/>
          <w:color w:val="auto"/>
          <w:sz w:val="24"/>
          <w:szCs w:val="24"/>
        </w:rPr>
        <w:t>~20</w:t>
      </w:r>
      <w:r>
        <w:rPr>
          <w:rFonts w:hint="eastAsia" w:asciiTheme="minorEastAsia" w:hAnsiTheme="minorEastAsia" w:cstheme="minorEastAsia"/>
          <w:color w:val="auto"/>
          <w:sz w:val="24"/>
          <w:szCs w:val="24"/>
          <w:lang w:val="en-US" w:eastAsia="zh-CN"/>
        </w:rPr>
        <w:t>21</w:t>
      </w:r>
      <w:r>
        <w:rPr>
          <w:rFonts w:hint="eastAsia" w:asciiTheme="minorEastAsia" w:hAnsiTheme="minorEastAsia" w:cstheme="minorEastAsia"/>
          <w:color w:val="auto"/>
          <w:sz w:val="24"/>
          <w:szCs w:val="24"/>
        </w:rPr>
        <w:t>届毕业生对核心课程重要度</w:t>
      </w:r>
      <w:r>
        <w:rPr>
          <w:rFonts w:hint="eastAsia" w:asciiTheme="minorEastAsia" w:hAnsiTheme="minorEastAsia" w:cstheme="minorEastAsia"/>
          <w:color w:val="auto"/>
          <w:sz w:val="24"/>
          <w:szCs w:val="24"/>
          <w:lang w:val="en-US" w:eastAsia="zh-CN"/>
        </w:rPr>
        <w:t>评价</w:t>
      </w:r>
      <w:r>
        <w:rPr>
          <w:rFonts w:hint="eastAsia" w:asciiTheme="minorEastAsia" w:hAnsiTheme="minorEastAsia" w:cstheme="minorEastAsia"/>
          <w:color w:val="auto"/>
          <w:sz w:val="24"/>
          <w:szCs w:val="24"/>
        </w:rPr>
        <w:t>分别为</w:t>
      </w:r>
      <w:r>
        <w:rPr>
          <w:rFonts w:hint="eastAsia" w:asciiTheme="minorEastAsia" w:hAnsiTheme="minorEastAsia" w:cstheme="minorEastAsia"/>
          <w:color w:val="auto"/>
          <w:sz w:val="24"/>
          <w:szCs w:val="24"/>
          <w:lang w:val="en-US" w:eastAsia="zh-CN"/>
        </w:rPr>
        <w:t>96</w:t>
      </w: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97%，全校各学院排名第一，</w:t>
      </w:r>
      <w:r>
        <w:rPr>
          <w:rFonts w:hint="eastAsia" w:asciiTheme="minorEastAsia" w:hAnsiTheme="minorEastAsia" w:cstheme="minorEastAsia"/>
          <w:color w:val="auto"/>
          <w:sz w:val="24"/>
          <w:szCs w:val="24"/>
        </w:rPr>
        <w:t>满足度分别为</w:t>
      </w:r>
      <w:r>
        <w:rPr>
          <w:rFonts w:hint="eastAsia" w:asciiTheme="minorEastAsia" w:hAnsiTheme="minorEastAsia" w:cstheme="minorEastAsia"/>
          <w:color w:val="auto"/>
          <w:sz w:val="24"/>
          <w:szCs w:val="24"/>
          <w:lang w:val="en-US" w:eastAsia="zh-CN"/>
        </w:rPr>
        <w:t>94</w:t>
      </w: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94%，亦居前列，整体认可度非常高</w:t>
      </w:r>
      <w:r>
        <w:rPr>
          <w:rFonts w:hint="eastAsia" w:asciiTheme="minorEastAsia" w:hAnsiTheme="minorEastAsia" w:cstheme="minorEastAsia"/>
          <w:color w:val="auto"/>
          <w:sz w:val="24"/>
          <w:szCs w:val="24"/>
        </w:rPr>
        <w:t>，说明课程内容设置与实际工作需求的匹配程度高，培养效果好</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较好地符合了实际就业领域的需要。据2019届麦可思数据（2020、2021届没有具体到专业），音乐表演专业毕业生核心课程重要度评价只有73%，满足度评价只有64%，从学院及教研室应该持续关注对该专业的人才培养方案的研讨与改革。</w:t>
      </w:r>
    </w:p>
    <w:p>
      <w:pPr>
        <w:spacing w:line="360" w:lineRule="auto"/>
        <w:ind w:firstLine="360" w:firstLineChars="200"/>
        <w:jc w:val="center"/>
        <w:rPr>
          <w:rFonts w:hint="eastAsia" w:ascii="楷体" w:hAnsi="楷体" w:eastAsia="楷体" w:cs="楷体"/>
          <w:color w:val="auto"/>
          <w:sz w:val="18"/>
          <w:szCs w:val="18"/>
          <w:lang w:val="en-US" w:eastAsia="zh-CN"/>
        </w:rPr>
      </w:pPr>
      <w:r>
        <w:rPr>
          <w:rFonts w:hint="eastAsia" w:ascii="楷体" w:hAnsi="楷体" w:eastAsia="楷体" w:cs="楷体"/>
          <w:b w:val="0"/>
          <w:bCs w:val="0"/>
          <w:i w:val="0"/>
          <w:color w:val="auto"/>
          <w:kern w:val="0"/>
          <w:sz w:val="18"/>
          <w:szCs w:val="18"/>
          <w:u w:val="none"/>
          <w:lang w:val="en-US" w:eastAsia="zh-CN" w:bidi="ar"/>
        </w:rPr>
        <w:t>表4 2021届毕业生核心课程重要度和有效性评价</w:t>
      </w:r>
    </w:p>
    <w:p>
      <w:pPr>
        <w:spacing w:line="360" w:lineRule="auto"/>
        <w:ind w:firstLine="480" w:firstLineChars="200"/>
        <w:jc w:val="center"/>
        <w:rPr>
          <w:rFonts w:hint="default" w:asciiTheme="minorEastAsia" w:hAnsiTheme="minorEastAsia" w:cstheme="minorEastAsia"/>
          <w:color w:val="auto"/>
          <w:sz w:val="24"/>
          <w:lang w:val="en-US" w:eastAsia="zh-CN"/>
        </w:rPr>
      </w:pPr>
      <w:r>
        <w:rPr>
          <w:rFonts w:hint="default" w:asciiTheme="minorEastAsia" w:hAnsiTheme="minorEastAsia" w:cstheme="minorEastAsia"/>
          <w:color w:val="auto"/>
          <w:sz w:val="24"/>
          <w:lang w:val="en-US" w:eastAsia="zh-CN"/>
        </w:rPr>
        <w:drawing>
          <wp:inline distT="0" distB="0" distL="114300" distR="114300">
            <wp:extent cx="3210560" cy="1035050"/>
            <wp:effectExtent l="9525" t="9525" r="10795" b="22225"/>
            <wp:docPr id="13" name="图片 13" descr="167117688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1176887236"/>
                    <pic:cNvPicPr>
                      <a:picLocks noChangeAspect="1"/>
                    </pic:cNvPicPr>
                  </pic:nvPicPr>
                  <pic:blipFill>
                    <a:blip r:embed="rId8"/>
                    <a:stretch>
                      <a:fillRect/>
                    </a:stretch>
                  </pic:blipFill>
                  <pic:spPr>
                    <a:xfrm>
                      <a:off x="0" y="0"/>
                      <a:ext cx="3210560" cy="1035050"/>
                    </a:xfrm>
                    <a:prstGeom prst="rect">
                      <a:avLst/>
                    </a:prstGeom>
                    <a:ln w="3175">
                      <a:solidFill>
                        <a:schemeClr val="tx1"/>
                      </a:solidFill>
                      <a:prstDash val="sysDot"/>
                    </a:ln>
                  </pic:spPr>
                </pic:pic>
              </a:graphicData>
            </a:graphic>
          </wp:inline>
        </w:drawing>
      </w:r>
    </w:p>
    <w:bookmarkEnd w:id="0"/>
    <w:bookmarkEnd w:id="1"/>
    <w:bookmarkEnd w:id="2"/>
    <w:p>
      <w:pPr>
        <w:ind w:left="-142" w:firstLine="420" w:firstLineChars="200"/>
        <w:rPr>
          <w:rFonts w:ascii="Calibri" w:hAnsi="Calibri"/>
          <w:color w:val="auto"/>
        </w:rPr>
      </w:pP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2" w:firstLineChars="200"/>
        <w:jc w:val="both"/>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四、存在的主要问题</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麦可思公司调查数据充分显示了我</w:t>
      </w:r>
      <w:r>
        <w:rPr>
          <w:rFonts w:hint="eastAsia" w:asciiTheme="minorEastAsia" w:hAnsiTheme="minorEastAsia" w:eastAsiaTheme="minorEastAsia" w:cstheme="minorEastAsia"/>
          <w:color w:val="auto"/>
          <w:sz w:val="24"/>
          <w:szCs w:val="24"/>
          <w:lang w:val="en-US" w:eastAsia="zh-CN"/>
        </w:rPr>
        <w:t>院</w:t>
      </w:r>
      <w:r>
        <w:rPr>
          <w:rFonts w:hint="eastAsia" w:asciiTheme="minorEastAsia" w:hAnsiTheme="minorEastAsia" w:eastAsiaTheme="minorEastAsia" w:cstheme="minorEastAsia"/>
          <w:color w:val="auto"/>
          <w:sz w:val="24"/>
          <w:szCs w:val="24"/>
        </w:rPr>
        <w:t>以师范专业为主的办学优势和特色，目前有学前教育</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早期教育、</w:t>
      </w:r>
      <w:r>
        <w:rPr>
          <w:rFonts w:hint="eastAsia" w:asciiTheme="minorEastAsia" w:hAnsiTheme="minorEastAsia" w:eastAsiaTheme="minorEastAsia" w:cstheme="minorEastAsia"/>
          <w:color w:val="auto"/>
          <w:sz w:val="24"/>
          <w:szCs w:val="24"/>
        </w:rPr>
        <w:t>音乐教育</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个师范专业</w:t>
      </w:r>
      <w:r>
        <w:rPr>
          <w:rFonts w:hint="eastAsia" w:asciiTheme="minorEastAsia" w:hAnsiTheme="minorEastAsia" w:eastAsiaTheme="minorEastAsia" w:cstheme="minorEastAsia"/>
          <w:color w:val="auto"/>
          <w:sz w:val="24"/>
          <w:szCs w:val="24"/>
          <w:lang w:eastAsia="zh-CN"/>
        </w:rPr>
        <w:t>，音乐表演、心理咨询</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lang w:eastAsia="zh-CN"/>
        </w:rPr>
        <w:t>个非师范专业。</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一</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毕业生就业质量提升需要持续关注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学院整体就业率基本达到学校平均水平，但整体仍待提高，</w:t>
      </w:r>
      <w:r>
        <w:rPr>
          <w:rFonts w:hint="eastAsia" w:asciiTheme="minorEastAsia" w:hAnsiTheme="minorEastAsia" w:eastAsiaTheme="minorEastAsia" w:cstheme="minorEastAsia"/>
          <w:b w:val="0"/>
          <w:bCs w:val="0"/>
          <w:color w:val="auto"/>
          <w:sz w:val="24"/>
          <w:szCs w:val="24"/>
          <w:lang w:val="en-US" w:eastAsia="zh-CN"/>
        </w:rPr>
        <w:t>协议就业率（43.38%、34.03%、11.40%、16.32%、6.82%）连续5年走低。</w:t>
      </w:r>
      <w:r>
        <w:rPr>
          <w:rFonts w:hint="eastAsia" w:asciiTheme="minorEastAsia" w:hAnsiTheme="minorEastAsia" w:eastAsiaTheme="minorEastAsia" w:cstheme="minorEastAsia"/>
          <w:color w:val="auto"/>
          <w:sz w:val="24"/>
          <w:szCs w:val="24"/>
          <w:lang w:val="en-US" w:eastAsia="zh-CN"/>
        </w:rPr>
        <w:t>2021届除音乐教育专业21.21%，其余各专业较2020届均进一步下滑，学前教育17.19%降为6.44%，音乐表演10.42%降为5.56%，心理咨询10.87%降为10.00%，早期教育从11.76%直接降为0。</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201</w:t>
      </w: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届</w:t>
      </w:r>
      <w:r>
        <w:rPr>
          <w:rFonts w:hint="eastAsia" w:asciiTheme="minorEastAsia" w:hAnsiTheme="minorEastAsia" w:eastAsiaTheme="minorEastAsia" w:cstheme="minorEastAsia"/>
          <w:color w:val="auto"/>
          <w:sz w:val="24"/>
          <w:szCs w:val="24"/>
          <w:lang w:val="en-US" w:eastAsia="zh-CN"/>
        </w:rPr>
        <w:t>学院与学校</w:t>
      </w:r>
      <w:r>
        <w:rPr>
          <w:rFonts w:hint="eastAsia" w:asciiTheme="minorEastAsia" w:hAnsiTheme="minorEastAsia" w:eastAsiaTheme="minorEastAsia" w:cstheme="minorEastAsia"/>
          <w:color w:val="auto"/>
          <w:sz w:val="24"/>
          <w:szCs w:val="24"/>
        </w:rPr>
        <w:t>毕业生的</w:t>
      </w:r>
      <w:r>
        <w:rPr>
          <w:rFonts w:hint="eastAsia" w:asciiTheme="minorEastAsia" w:hAnsiTheme="minorEastAsia" w:eastAsiaTheme="minorEastAsia" w:cstheme="minorEastAsia"/>
          <w:color w:val="auto"/>
          <w:sz w:val="24"/>
          <w:szCs w:val="24"/>
          <w:lang w:val="en-US" w:eastAsia="zh-CN"/>
        </w:rPr>
        <w:t>毕业</w:t>
      </w:r>
      <w:r>
        <w:rPr>
          <w:rFonts w:hint="eastAsia" w:asciiTheme="minorEastAsia" w:hAnsiTheme="minorEastAsia" w:eastAsiaTheme="minorEastAsia" w:cstheme="minorEastAsia"/>
          <w:color w:val="auto"/>
          <w:sz w:val="24"/>
          <w:szCs w:val="24"/>
        </w:rPr>
        <w:t>月收入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3700/3309</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3654</w:t>
      </w:r>
      <w:r>
        <w:rPr>
          <w:rFonts w:hint="eastAsia" w:asciiTheme="minorEastAsia" w:hAnsiTheme="minorEastAsia" w:eastAsiaTheme="minorEastAsia" w:cstheme="minorEastAsia"/>
          <w:color w:val="auto"/>
          <w:sz w:val="24"/>
          <w:szCs w:val="24"/>
          <w:lang w:val="en-US" w:eastAsia="zh-CN"/>
        </w:rPr>
        <w:t>/3214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3483/3276、3595/3413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整体走势吻合，但我院毕业生平均工资收入水平相较全校显低，连续三年基本都为全校最低。相较2021届音乐教育、音乐表演略显上扬。这与毕业生就业的行职业特点有关学，院毕业生主要从事幼儿教师岗位，收入起薪相对偏低，如果长期低迷，则可能对专业招生不利。</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rPr>
        <w:t>（二）</w:t>
      </w:r>
      <w:r>
        <w:rPr>
          <w:rFonts w:hint="eastAsia" w:asciiTheme="minorEastAsia" w:hAnsiTheme="minorEastAsia" w:eastAsiaTheme="minorEastAsia" w:cstheme="minorEastAsia"/>
          <w:b/>
          <w:bCs/>
          <w:color w:val="auto"/>
          <w:sz w:val="24"/>
          <w:szCs w:val="24"/>
          <w:lang w:val="en-US" w:eastAsia="zh-CN"/>
        </w:rPr>
        <w:t>生师</w:t>
      </w:r>
      <w:r>
        <w:rPr>
          <w:rFonts w:hint="eastAsia" w:asciiTheme="minorEastAsia" w:hAnsiTheme="minorEastAsia" w:eastAsiaTheme="minorEastAsia" w:cstheme="minorEastAsia"/>
          <w:b/>
          <w:bCs/>
          <w:color w:val="auto"/>
          <w:sz w:val="24"/>
          <w:szCs w:val="24"/>
        </w:rPr>
        <w:t>交流</w:t>
      </w:r>
      <w:r>
        <w:rPr>
          <w:rFonts w:hint="eastAsia" w:asciiTheme="minorEastAsia" w:hAnsiTheme="minorEastAsia" w:eastAsiaTheme="minorEastAsia" w:cstheme="minorEastAsia"/>
          <w:b/>
          <w:bCs/>
          <w:color w:val="auto"/>
          <w:sz w:val="24"/>
          <w:szCs w:val="24"/>
          <w:lang w:val="en-US" w:eastAsia="zh-CN"/>
        </w:rPr>
        <w:t>频次深度有待进一步提高</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bookmarkStart w:id="6" w:name="_Toc31818415"/>
      <w:bookmarkStart w:id="7" w:name="_Toc25004057"/>
      <w:r>
        <w:rPr>
          <w:rFonts w:hint="eastAsia" w:asciiTheme="minorEastAsia" w:hAnsiTheme="minorEastAsia" w:eastAsiaTheme="minorEastAsia" w:cstheme="minorEastAsia"/>
          <w:color w:val="auto"/>
          <w:sz w:val="24"/>
          <w:szCs w:val="24"/>
          <w:lang w:val="en-US" w:eastAsia="zh-CN"/>
        </w:rPr>
        <w:t>1.学工教师与学生交流不高</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学生工作开展效果持续提升，201</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lang w:eastAsia="zh-CN"/>
        </w:rPr>
        <w:t>届~20</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lang w:eastAsia="zh-CN"/>
        </w:rPr>
        <w:t>届毕业生对学生工作的满意度（9</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lang w:eastAsia="zh-CN"/>
        </w:rPr>
        <w:t>%、9</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lang w:eastAsia="zh-CN"/>
        </w:rPr>
        <w:t>%、9</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整体维持在</w:t>
      </w:r>
      <w:r>
        <w:rPr>
          <w:rFonts w:hint="eastAsia" w:asciiTheme="minorEastAsia" w:hAnsiTheme="minorEastAsia" w:cstheme="minorEastAsia"/>
          <w:color w:val="auto"/>
          <w:sz w:val="24"/>
          <w:szCs w:val="24"/>
          <w:lang w:val="en-US" w:eastAsia="zh-CN"/>
        </w:rPr>
        <w:t>九</w:t>
      </w:r>
      <w:r>
        <w:rPr>
          <w:rFonts w:hint="eastAsia" w:asciiTheme="minorEastAsia" w:hAnsiTheme="minorEastAsia" w:eastAsiaTheme="minorEastAsia" w:cstheme="minorEastAsia"/>
          <w:color w:val="auto"/>
          <w:sz w:val="24"/>
          <w:szCs w:val="24"/>
          <w:lang w:val="en-US" w:eastAsia="zh-CN"/>
        </w:rPr>
        <w:t>成以上，与学校平均持平或略高</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但</w:t>
      </w:r>
      <w:r>
        <w:rPr>
          <w:rFonts w:hint="eastAsia" w:asciiTheme="minorEastAsia" w:hAnsiTheme="minorEastAsia" w:eastAsiaTheme="minorEastAsia" w:cstheme="minorEastAsia"/>
          <w:color w:val="auto"/>
          <w:sz w:val="24"/>
          <w:szCs w:val="24"/>
          <w:lang w:eastAsia="zh-CN"/>
        </w:rPr>
        <w:t>需要注意的是，与辅导员或班主任接触时间的改进需求仍较高（</w:t>
      </w:r>
      <w:r>
        <w:rPr>
          <w:rFonts w:hint="eastAsia" w:asciiTheme="minorEastAsia" w:hAnsiTheme="minorEastAsia" w:eastAsiaTheme="minorEastAsia" w:cstheme="minorEastAsia"/>
          <w:color w:val="auto"/>
          <w:sz w:val="24"/>
          <w:szCs w:val="24"/>
          <w:lang w:val="en-US" w:eastAsia="zh-CN"/>
        </w:rPr>
        <w:t>43%）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较2019届</w:t>
      </w:r>
      <w:r>
        <w:rPr>
          <w:rFonts w:hint="eastAsia" w:asciiTheme="minorEastAsia" w:hAnsiTheme="minorEastAsia" w:eastAsiaTheme="minorEastAsia" w:cstheme="minorEastAsia"/>
          <w:color w:val="auto"/>
          <w:sz w:val="24"/>
          <w:szCs w:val="24"/>
          <w:lang w:eastAsia="zh-CN"/>
        </w:rPr>
        <w:t>49%</w:t>
      </w:r>
      <w:r>
        <w:rPr>
          <w:rFonts w:hint="eastAsia" w:asciiTheme="minorEastAsia" w:hAnsiTheme="minorEastAsia" w:eastAsiaTheme="minorEastAsia" w:cstheme="minorEastAsia"/>
          <w:color w:val="auto"/>
          <w:sz w:val="24"/>
          <w:szCs w:val="24"/>
          <w:lang w:val="en-US" w:eastAsia="zh-CN"/>
        </w:rPr>
        <w:t>略好，但需持续关注。</w:t>
      </w:r>
    </w:p>
    <w:p>
      <w:pPr>
        <w:keepNext w:val="0"/>
        <w:keepLines w:val="0"/>
        <w:widowControl/>
        <w:suppressLineNumbers w:val="0"/>
        <w:jc w:val="center"/>
        <w:rPr>
          <w:rFonts w:hint="default" w:ascii="楷体" w:hAnsi="楷体" w:eastAsia="楷体" w:cs="楷体"/>
          <w:b w:val="0"/>
          <w:bCs w:val="0"/>
          <w:color w:val="auto"/>
          <w:kern w:val="0"/>
          <w:sz w:val="18"/>
          <w:szCs w:val="18"/>
          <w:lang w:val="en-US" w:eastAsia="zh-CN" w:bidi="ar"/>
        </w:rPr>
      </w:pPr>
      <w:r>
        <w:rPr>
          <w:rFonts w:hint="eastAsia" w:ascii="楷体" w:hAnsi="楷体" w:eastAsia="楷体" w:cs="楷体"/>
          <w:b w:val="0"/>
          <w:bCs w:val="0"/>
          <w:color w:val="auto"/>
          <w:kern w:val="0"/>
          <w:sz w:val="18"/>
          <w:szCs w:val="18"/>
          <w:lang w:val="en-US" w:eastAsia="zh-CN" w:bidi="ar"/>
        </w:rPr>
        <w:t xml:space="preserve">图2 </w:t>
      </w:r>
      <w:bookmarkStart w:id="8" w:name="_Toc31719186"/>
      <w:r>
        <w:rPr>
          <w:rFonts w:hint="eastAsia" w:ascii="楷体" w:hAnsi="楷体" w:eastAsia="楷体" w:cs="楷体"/>
          <w:b w:val="0"/>
          <w:bCs w:val="0"/>
          <w:color w:val="auto"/>
          <w:kern w:val="0"/>
          <w:sz w:val="18"/>
          <w:szCs w:val="18"/>
          <w:lang w:val="en-US" w:eastAsia="zh-CN" w:bidi="ar"/>
        </w:rPr>
        <w:t>学生工作、生活服务主要改进需求</w:t>
      </w:r>
      <w:bookmarkEnd w:id="8"/>
    </w:p>
    <w:p>
      <w:pPr>
        <w:spacing w:line="360" w:lineRule="auto"/>
        <w:ind w:firstLine="480" w:firstLineChars="200"/>
        <w:jc w:val="center"/>
        <w:rPr>
          <w:rFonts w:hint="default" w:asciiTheme="minorEastAsia" w:hAnsiTheme="minorEastAsia" w:cstheme="minorEastAsia"/>
          <w:color w:val="auto"/>
          <w:sz w:val="24"/>
          <w:lang w:val="en-US" w:eastAsia="zh-CN"/>
        </w:rPr>
      </w:pPr>
      <w:r>
        <w:rPr>
          <w:rFonts w:hint="default" w:asciiTheme="minorEastAsia" w:hAnsiTheme="minorEastAsia" w:cstheme="minorEastAsia"/>
          <w:color w:val="auto"/>
          <w:sz w:val="24"/>
          <w:lang w:val="en-US" w:eastAsia="zh-CN"/>
        </w:rPr>
        <w:drawing>
          <wp:inline distT="0" distB="0" distL="114300" distR="114300">
            <wp:extent cx="2847975" cy="1371600"/>
            <wp:effectExtent l="9525" t="9525" r="22860" b="20955"/>
            <wp:docPr id="14" name="图片 14" descr="167140211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1402118938"/>
                    <pic:cNvPicPr>
                      <a:picLocks noChangeAspect="1"/>
                    </pic:cNvPicPr>
                  </pic:nvPicPr>
                  <pic:blipFill>
                    <a:blip r:embed="rId9"/>
                    <a:stretch>
                      <a:fillRect/>
                    </a:stretch>
                  </pic:blipFill>
                  <pic:spPr>
                    <a:xfrm>
                      <a:off x="0" y="0"/>
                      <a:ext cx="2847975" cy="1371600"/>
                    </a:xfrm>
                    <a:prstGeom prst="rect">
                      <a:avLst/>
                    </a:prstGeom>
                    <a:ln w="3175">
                      <a:solidFill>
                        <a:schemeClr val="tx1"/>
                      </a:solidFill>
                      <a:prstDash val="sysDot"/>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EastAsia"/>
          <w:color w:val="auto"/>
          <w:sz w:val="24"/>
          <w:szCs w:val="24"/>
          <w:lang w:val="en-US" w:eastAsia="zh-CN"/>
        </w:rPr>
      </w:pPr>
      <w:bookmarkStart w:id="9" w:name="_Toc25768216"/>
      <w:bookmarkStart w:id="10" w:name="_Toc23495297"/>
      <w:bookmarkStart w:id="11" w:name="_Toc24555016"/>
      <w:bookmarkStart w:id="12" w:name="_Toc28709156"/>
      <w:bookmarkStart w:id="13" w:name="_Toc31818424"/>
      <w:bookmarkStart w:id="14" w:name="_Toc26950829"/>
      <w:bookmarkStart w:id="15" w:name="_Toc25257212"/>
      <w:r>
        <w:rPr>
          <w:rFonts w:hint="eastAsia" w:asciiTheme="minorEastAsia" w:hAnsiTheme="minorEastAsia" w:cstheme="minorEastAsia"/>
          <w:color w:val="auto"/>
          <w:sz w:val="24"/>
          <w:szCs w:val="24"/>
          <w:lang w:val="en-US" w:eastAsia="zh-CN"/>
        </w:rPr>
        <w:t>2.任课教师综合评价有明显跌落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整体看，我院教师对学生学习指导满足度高，达到100%；但其他各项指标评价两届对比整体下降；特别是教师在实践教学指导方面的各项指标，评价不高；师生高频交流比例2021届略有上升，略高于全校平均水平，与我院学生基数大，师资缺编困境及积极引进师资的情况基本吻合，也与近年新冠疫情影响有密切关系，但应引起足够重视。</w:t>
      </w:r>
    </w:p>
    <w:p>
      <w:pPr>
        <w:spacing w:line="360" w:lineRule="auto"/>
        <w:ind w:firstLine="360" w:firstLineChars="200"/>
        <w:jc w:val="center"/>
        <w:rPr>
          <w:rFonts w:hint="default" w:ascii="楷体" w:hAnsi="楷体" w:eastAsia="楷体" w:cs="楷体"/>
          <w:b w:val="0"/>
          <w:bCs w:val="0"/>
          <w:i w:val="0"/>
          <w:color w:val="auto"/>
          <w:kern w:val="0"/>
          <w:sz w:val="18"/>
          <w:szCs w:val="18"/>
          <w:u w:val="none"/>
          <w:lang w:val="en-US" w:eastAsia="zh-CN" w:bidi="ar"/>
        </w:rPr>
      </w:pPr>
      <w:r>
        <w:rPr>
          <w:rFonts w:hint="eastAsia" w:ascii="楷体" w:hAnsi="楷体" w:eastAsia="楷体" w:cs="楷体"/>
          <w:b w:val="0"/>
          <w:bCs w:val="0"/>
          <w:i w:val="0"/>
          <w:color w:val="auto"/>
          <w:kern w:val="0"/>
          <w:sz w:val="18"/>
          <w:szCs w:val="18"/>
          <w:u w:val="none"/>
          <w:lang w:val="en-US" w:eastAsia="zh-CN" w:bidi="ar"/>
        </w:rPr>
        <w:t>表5 2020届各学院教师综合评价表</w:t>
      </w:r>
    </w:p>
    <w:p>
      <w:pPr>
        <w:spacing w:line="360" w:lineRule="auto"/>
        <w:ind w:firstLine="480" w:firstLineChars="200"/>
        <w:jc w:val="center"/>
        <w:rPr>
          <w:rFonts w:hint="eastAsia" w:asciiTheme="minorEastAsia" w:hAnsiTheme="minorEastAsia" w:cstheme="minorEastAsia"/>
          <w:color w:val="auto"/>
          <w:sz w:val="24"/>
          <w:lang w:val="en-US" w:eastAsia="zh-CN"/>
        </w:rPr>
      </w:pPr>
      <w:r>
        <w:rPr>
          <w:rFonts w:hint="eastAsia" w:asciiTheme="minorEastAsia" w:hAnsiTheme="minorEastAsia" w:cstheme="minorEastAsia"/>
          <w:color w:val="auto"/>
          <w:sz w:val="24"/>
          <w:lang w:val="en-US" w:eastAsia="zh-CN"/>
        </w:rPr>
        <w:drawing>
          <wp:inline distT="0" distB="0" distL="114300" distR="114300">
            <wp:extent cx="3455670" cy="1397000"/>
            <wp:effectExtent l="9525" t="9525" r="9525" b="10795"/>
            <wp:docPr id="17" name="图片 17" descr="167117731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1177310293"/>
                    <pic:cNvPicPr>
                      <a:picLocks noChangeAspect="1"/>
                    </pic:cNvPicPr>
                  </pic:nvPicPr>
                  <pic:blipFill>
                    <a:blip r:embed="rId10"/>
                    <a:stretch>
                      <a:fillRect/>
                    </a:stretch>
                  </pic:blipFill>
                  <pic:spPr>
                    <a:xfrm>
                      <a:off x="0" y="0"/>
                      <a:ext cx="3455670" cy="1397000"/>
                    </a:xfrm>
                    <a:prstGeom prst="rect">
                      <a:avLst/>
                    </a:prstGeom>
                    <a:ln w="3175">
                      <a:solidFill>
                        <a:schemeClr val="tx1"/>
                      </a:solidFill>
                      <a:prstDash val="sysDot"/>
                    </a:ln>
                  </pic:spPr>
                </pic:pic>
              </a:graphicData>
            </a:graphic>
          </wp:inline>
        </w:drawing>
      </w:r>
    </w:p>
    <w:p>
      <w:pPr>
        <w:spacing w:line="360" w:lineRule="auto"/>
        <w:ind w:firstLine="360" w:firstLineChars="200"/>
        <w:jc w:val="center"/>
        <w:rPr>
          <w:rFonts w:hint="eastAsia" w:asciiTheme="minorEastAsia" w:hAnsiTheme="minorEastAsia" w:cstheme="minorEastAsia"/>
          <w:color w:val="auto"/>
          <w:sz w:val="24"/>
          <w:lang w:val="en-US" w:eastAsia="zh-CN"/>
        </w:rPr>
      </w:pPr>
      <w:r>
        <w:rPr>
          <w:rFonts w:hint="eastAsia" w:ascii="楷体" w:hAnsi="楷体" w:eastAsia="楷体" w:cs="楷体"/>
          <w:b w:val="0"/>
          <w:bCs w:val="0"/>
          <w:i w:val="0"/>
          <w:color w:val="auto"/>
          <w:kern w:val="0"/>
          <w:sz w:val="18"/>
          <w:szCs w:val="18"/>
          <w:u w:val="none"/>
          <w:lang w:val="en-US" w:eastAsia="zh-CN" w:bidi="ar"/>
        </w:rPr>
        <w:t>表6 2021届各学院教师综合评价表</w:t>
      </w:r>
    </w:p>
    <w:p>
      <w:pPr>
        <w:spacing w:line="360" w:lineRule="auto"/>
        <w:ind w:firstLine="480" w:firstLineChars="200"/>
        <w:jc w:val="center"/>
        <w:rPr>
          <w:rFonts w:hint="eastAsia" w:asciiTheme="minorEastAsia" w:hAnsiTheme="minorEastAsia" w:cstheme="minorEastAsia"/>
          <w:color w:val="auto"/>
          <w:sz w:val="24"/>
          <w:lang w:val="en-US" w:eastAsia="zh-CN"/>
        </w:rPr>
      </w:pPr>
      <w:r>
        <w:rPr>
          <w:rFonts w:hint="eastAsia" w:asciiTheme="minorEastAsia" w:hAnsiTheme="minorEastAsia" w:cstheme="minorEastAsia"/>
          <w:color w:val="auto"/>
          <w:sz w:val="24"/>
          <w:lang w:val="en-US" w:eastAsia="zh-CN"/>
        </w:rPr>
        <w:drawing>
          <wp:inline distT="0" distB="0" distL="114300" distR="114300">
            <wp:extent cx="3444240" cy="1301115"/>
            <wp:effectExtent l="9525" t="9525" r="20955" b="15240"/>
            <wp:docPr id="18" name="图片 18" descr="167117716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1177162389"/>
                    <pic:cNvPicPr>
                      <a:picLocks noChangeAspect="1"/>
                    </pic:cNvPicPr>
                  </pic:nvPicPr>
                  <pic:blipFill>
                    <a:blip r:embed="rId11"/>
                    <a:stretch>
                      <a:fillRect/>
                    </a:stretch>
                  </pic:blipFill>
                  <pic:spPr>
                    <a:xfrm>
                      <a:off x="0" y="0"/>
                      <a:ext cx="3444240" cy="1301115"/>
                    </a:xfrm>
                    <a:prstGeom prst="rect">
                      <a:avLst/>
                    </a:prstGeom>
                    <a:ln w="3175">
                      <a:solidFill>
                        <a:schemeClr val="tx1"/>
                      </a:solidFill>
                      <a:prstDash val="sysDot"/>
                    </a:ln>
                  </pic:spPr>
                </pic:pic>
              </a:graphicData>
            </a:graphic>
          </wp:inline>
        </w:drawing>
      </w:r>
    </w:p>
    <w:bookmarkEnd w:id="6"/>
    <w:bookmarkEnd w:id="7"/>
    <w:bookmarkEnd w:id="9"/>
    <w:bookmarkEnd w:id="10"/>
    <w:bookmarkEnd w:id="11"/>
    <w:bookmarkEnd w:id="12"/>
    <w:bookmarkEnd w:id="13"/>
    <w:bookmarkEnd w:id="14"/>
    <w:bookmarkEnd w:id="15"/>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（三）实习何实践环节改进需求需要持续关注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 xml:space="preserve">学校整体“实践教学环节仍需优化”评价问题（2017~2021届分别为72%、64%、59%、61%、56%）逐年好转，但仍持续存在。我院该方面问题也呈好转趋势，但仍然需高度关注，2020、/221届毕业生评价仍高居64%、59%。尤其2021届毕业生就校内、校外实习实践中多项评价偏低，可能在实习实践培养上存在不足，需要加强建设。 </w:t>
      </w:r>
    </w:p>
    <w:p>
      <w:pPr>
        <w:keepNext w:val="0"/>
        <w:keepLines w:val="0"/>
        <w:widowControl/>
        <w:suppressLineNumbers w:val="0"/>
        <w:jc w:val="center"/>
        <w:rPr>
          <w:color w:val="auto"/>
        </w:rPr>
      </w:pPr>
      <w:r>
        <w:rPr>
          <w:rFonts w:hint="eastAsia" w:ascii="楷体" w:hAnsi="楷体" w:eastAsia="楷体" w:cs="楷体"/>
          <w:b w:val="0"/>
          <w:bCs w:val="0"/>
          <w:color w:val="auto"/>
          <w:kern w:val="0"/>
          <w:sz w:val="18"/>
          <w:szCs w:val="18"/>
          <w:lang w:val="en-US" w:eastAsia="zh-CN" w:bidi="ar"/>
        </w:rPr>
        <w:t>表7 2021届毕业生各学院教学满意度及教学改进需求</w:t>
      </w:r>
    </w:p>
    <w:p>
      <w:pPr>
        <w:keepNext w:val="0"/>
        <w:keepLines w:val="0"/>
        <w:widowControl/>
        <w:suppressLineNumbers w:val="0"/>
        <w:spacing w:line="240" w:lineRule="auto"/>
        <w:jc w:val="center"/>
        <w:rPr>
          <w:rFonts w:hint="eastAsia" w:ascii="宋体" w:hAnsi="宋体" w:eastAsia="宋体" w:cs="宋体"/>
          <w:color w:val="auto"/>
          <w:kern w:val="0"/>
          <w:sz w:val="21"/>
          <w:szCs w:val="21"/>
          <w:shd w:val="clear" w:color="auto" w:fill="auto"/>
          <w:lang w:val="en-US" w:eastAsia="zh-CN" w:bidi="ar"/>
        </w:rPr>
      </w:pPr>
      <w:r>
        <w:rPr>
          <w:rFonts w:hint="eastAsia" w:ascii="宋体" w:hAnsi="宋体" w:eastAsia="宋体" w:cs="宋体"/>
          <w:color w:val="auto"/>
          <w:kern w:val="0"/>
          <w:sz w:val="21"/>
          <w:szCs w:val="21"/>
          <w:shd w:val="clear" w:color="auto" w:fill="auto"/>
          <w:lang w:val="en-US" w:eastAsia="zh-CN" w:bidi="ar"/>
        </w:rPr>
        <w:drawing>
          <wp:inline distT="0" distB="0" distL="114300" distR="114300">
            <wp:extent cx="3292475" cy="1607820"/>
            <wp:effectExtent l="9525" t="9525" r="20320" b="13335"/>
            <wp:docPr id="19" name="图片 19" descr="167140118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1401187971"/>
                    <pic:cNvPicPr>
                      <a:picLocks noChangeAspect="1"/>
                    </pic:cNvPicPr>
                  </pic:nvPicPr>
                  <pic:blipFill>
                    <a:blip r:embed="rId12"/>
                    <a:stretch>
                      <a:fillRect/>
                    </a:stretch>
                  </pic:blipFill>
                  <pic:spPr>
                    <a:xfrm>
                      <a:off x="0" y="0"/>
                      <a:ext cx="3292475" cy="1607820"/>
                    </a:xfrm>
                    <a:prstGeom prst="rect">
                      <a:avLst/>
                    </a:prstGeom>
                    <a:ln w="3175">
                      <a:solidFill>
                        <a:schemeClr val="tx1"/>
                      </a:solidFill>
                      <a:prstDash val="sysDot"/>
                    </a:ln>
                  </pic:spPr>
                </pic:pic>
              </a:graphicData>
            </a:graphic>
          </wp:inline>
        </w:drawing>
      </w:r>
    </w:p>
    <w:p>
      <w:pPr>
        <w:keepNext w:val="0"/>
        <w:keepLines w:val="0"/>
        <w:widowControl/>
        <w:suppressLineNumbers w:val="0"/>
        <w:jc w:val="center"/>
        <w:rPr>
          <w:rFonts w:hint="eastAsia" w:ascii="楷体" w:hAnsi="楷体" w:eastAsia="楷体" w:cs="楷体"/>
          <w:b w:val="0"/>
          <w:bCs w:val="0"/>
          <w:color w:val="auto"/>
          <w:kern w:val="0"/>
          <w:sz w:val="18"/>
          <w:szCs w:val="18"/>
          <w:lang w:val="en-US" w:eastAsia="zh-CN" w:bidi="ar"/>
        </w:rPr>
      </w:pPr>
      <w:r>
        <w:rPr>
          <w:rFonts w:hint="eastAsia" w:ascii="楷体" w:hAnsi="楷体" w:eastAsia="楷体" w:cs="楷体"/>
          <w:b w:val="0"/>
          <w:bCs w:val="0"/>
          <w:color w:val="auto"/>
          <w:kern w:val="0"/>
          <w:sz w:val="18"/>
          <w:szCs w:val="18"/>
          <w:lang w:val="en-US" w:eastAsia="zh-CN" w:bidi="ar"/>
        </w:rPr>
        <w:t>表8 2021届毕业生各学院实习实践综合分析</w:t>
      </w:r>
    </w:p>
    <w:p>
      <w:pPr>
        <w:spacing w:line="360" w:lineRule="auto"/>
        <w:jc w:val="center"/>
        <w:rPr>
          <w:rFonts w:hint="eastAsia" w:asciiTheme="minorEastAsia" w:hAnsiTheme="minorEastAsia" w:cstheme="minorEastAsia"/>
          <w:color w:val="auto"/>
          <w:sz w:val="24"/>
          <w:lang w:eastAsia="zh-CN"/>
        </w:rPr>
      </w:pPr>
      <w:r>
        <w:rPr>
          <w:rFonts w:hint="eastAsia" w:asciiTheme="minorEastAsia" w:hAnsiTheme="minorEastAsia" w:cstheme="minorEastAsia"/>
          <w:color w:val="auto"/>
          <w:sz w:val="24"/>
          <w:lang w:eastAsia="zh-CN"/>
        </w:rPr>
        <w:drawing>
          <wp:inline distT="0" distB="0" distL="114300" distR="114300">
            <wp:extent cx="3283585" cy="1471295"/>
            <wp:effectExtent l="9525" t="9525" r="13970" b="12700"/>
            <wp:docPr id="20" name="图片 20" descr="167140028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1400287668"/>
                    <pic:cNvPicPr>
                      <a:picLocks noChangeAspect="1"/>
                    </pic:cNvPicPr>
                  </pic:nvPicPr>
                  <pic:blipFill>
                    <a:blip r:embed="rId13"/>
                    <a:stretch>
                      <a:fillRect/>
                    </a:stretch>
                  </pic:blipFill>
                  <pic:spPr>
                    <a:xfrm>
                      <a:off x="0" y="0"/>
                      <a:ext cx="3283585" cy="1471295"/>
                    </a:xfrm>
                    <a:prstGeom prst="rect">
                      <a:avLst/>
                    </a:prstGeom>
                    <a:ln w="3175">
                      <a:solidFill>
                        <a:schemeClr val="tx1"/>
                      </a:solidFill>
                      <a:prstDash val="sysDot"/>
                    </a:ln>
                  </pic:spPr>
                </pic:pic>
              </a:graphicData>
            </a:graphic>
          </wp:inline>
        </w:drawing>
      </w:r>
    </w:p>
    <w:p>
      <w:pPr>
        <w:spacing w:line="360" w:lineRule="auto"/>
        <w:jc w:val="center"/>
        <w:rPr>
          <w:rFonts w:hint="eastAsia" w:asciiTheme="minorEastAsia" w:hAnsiTheme="minorEastAsia" w:cstheme="minorEastAsia"/>
          <w:color w:val="auto"/>
          <w:sz w:val="24"/>
          <w:lang w:eastAsia="zh-CN"/>
        </w:rPr>
      </w:pP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（四）学生各类证书获取需持续关注提升</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学生专业技能方面，从证书考核角度看，2021届学院毕业生能力证书获证率达到92%，为全校最高，但是职业资格类证书、1+X证书获取比例相对较低，对学生的求职就业或产生影响，也会对未来学院的专业认证工作带来隐患；计算机、语言类等级证书获取率也不高，对学生专转本考试会产生影响，需要予以足够重视并尽快改善。</w:t>
      </w:r>
    </w:p>
    <w:p>
      <w:pPr>
        <w:spacing w:line="240" w:lineRule="auto"/>
        <w:ind w:firstLine="360" w:firstLineChars="200"/>
        <w:jc w:val="center"/>
        <w:rPr>
          <w:rFonts w:hint="default" w:asciiTheme="minorEastAsia" w:hAnsiTheme="minorEastAsia" w:cstheme="minorEastAsia"/>
          <w:color w:val="auto"/>
          <w:sz w:val="21"/>
          <w:szCs w:val="21"/>
          <w:lang w:val="en-US" w:eastAsia="zh-CN"/>
        </w:rPr>
      </w:pPr>
      <w:r>
        <w:rPr>
          <w:rFonts w:hint="eastAsia" w:ascii="楷体" w:hAnsi="楷体" w:eastAsia="楷体" w:cs="楷体"/>
          <w:b w:val="0"/>
          <w:bCs w:val="0"/>
          <w:color w:val="auto"/>
          <w:kern w:val="0"/>
          <w:sz w:val="18"/>
          <w:szCs w:val="18"/>
          <w:lang w:val="en-US" w:eastAsia="zh-CN" w:bidi="ar"/>
        </w:rPr>
        <w:t>表9 2021届毕业生获证情况统计</w:t>
      </w:r>
    </w:p>
    <w:p>
      <w:pPr>
        <w:pStyle w:val="32"/>
        <w:spacing w:before="78" w:beforeLines="25" w:after="78" w:afterLines="25" w:line="360" w:lineRule="auto"/>
        <w:ind w:firstLine="480" w:firstLineChars="200"/>
        <w:jc w:val="center"/>
        <w:rPr>
          <w:rFonts w:hint="eastAsia"/>
          <w:b w:val="0"/>
          <w:bCs w:val="0"/>
          <w:color w:val="auto"/>
          <w:sz w:val="24"/>
          <w:lang w:val="en-US" w:eastAsia="zh-CN"/>
        </w:rPr>
      </w:pPr>
      <w:r>
        <w:rPr>
          <w:rFonts w:hint="eastAsia"/>
          <w:b w:val="0"/>
          <w:bCs w:val="0"/>
          <w:color w:val="auto"/>
          <w:sz w:val="24"/>
          <w:lang w:val="en-US" w:eastAsia="zh-CN"/>
        </w:rPr>
        <w:drawing>
          <wp:inline distT="0" distB="0" distL="114300" distR="114300">
            <wp:extent cx="3211830" cy="1506855"/>
            <wp:effectExtent l="9525" t="9525" r="9525" b="22860"/>
            <wp:docPr id="21" name="图片 21" descr="167140056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1400569944"/>
                    <pic:cNvPicPr>
                      <a:picLocks noChangeAspect="1"/>
                    </pic:cNvPicPr>
                  </pic:nvPicPr>
                  <pic:blipFill>
                    <a:blip r:embed="rId14"/>
                    <a:stretch>
                      <a:fillRect/>
                    </a:stretch>
                  </pic:blipFill>
                  <pic:spPr>
                    <a:xfrm>
                      <a:off x="0" y="0"/>
                      <a:ext cx="3211830" cy="1506855"/>
                    </a:xfrm>
                    <a:prstGeom prst="rect">
                      <a:avLst/>
                    </a:prstGeom>
                    <a:ln w="3175">
                      <a:solidFill>
                        <a:schemeClr val="tx1"/>
                      </a:solidFill>
                      <a:prstDash val="sysDot"/>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学生对学历提升的需求应予以关注重视</w:t>
      </w:r>
    </w:p>
    <w:p>
      <w:pPr>
        <w:keepNext w:val="0"/>
        <w:keepLines w:val="0"/>
        <w:pageBreakBefore w:val="0"/>
        <w:numPr>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2017~2021五届毕业生比较，学生毕业后就读本科的比例逐年上升（院/校9.63%/19.94%、13.37%/20.54%、24.24%/28.82%、25.47%/33.30%、27.17%/25.85%），麦可思调研准备升学率2020届5.6%，2021届11.2%；出国比率0.88%，0.63%。鉴于我院学生数基数庞大，对此应该引起足够的关注与重视，并切实从人生规划、课程设置、课外辅导、继续教育渠道拓展等各方面为学生做好服务工作，满足学生的实际需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但是，按照2022年专转本考试数据统计显示，出现的新情况，因为疫情原因，有相当一批学生报考专转本却未能正常参加考试，给学生造成巨大损失与伤害。从学院层面看，2022届有超过一半的学生有转本意愿，但是最终正常参考的人数只有385人，有24.80%的人没能参加考试，最终录取的人数只达到毕业生数的10.49%，远远不能满足学生对学历提升的需求。学院要充分挖掘继续教育助学本的潜力提前在学生规划发展中做出分析、宣传与引导。</w:t>
      </w:r>
    </w:p>
    <w:p>
      <w:pPr>
        <w:spacing w:line="240" w:lineRule="auto"/>
        <w:ind w:firstLine="360" w:firstLineChars="200"/>
        <w:jc w:val="center"/>
        <w:rPr>
          <w:rFonts w:hint="default" w:asciiTheme="minorEastAsia" w:hAnsiTheme="minorEastAsia" w:cstheme="minorEastAsia"/>
          <w:color w:val="auto"/>
          <w:sz w:val="21"/>
          <w:szCs w:val="21"/>
          <w:lang w:val="en-US" w:eastAsia="zh-CN"/>
        </w:rPr>
      </w:pPr>
      <w:r>
        <w:rPr>
          <w:rFonts w:hint="eastAsia" w:ascii="楷体" w:hAnsi="楷体" w:eastAsia="楷体" w:cs="楷体"/>
          <w:b w:val="0"/>
          <w:bCs w:val="0"/>
          <w:color w:val="auto"/>
          <w:kern w:val="0"/>
          <w:sz w:val="18"/>
          <w:szCs w:val="18"/>
          <w:lang w:val="en-US" w:eastAsia="zh-CN" w:bidi="ar"/>
        </w:rPr>
        <w:t>表10 2022届毕业生专转本考试情况统计</w:t>
      </w:r>
    </w:p>
    <w:p>
      <w:pPr>
        <w:spacing w:line="240" w:lineRule="auto"/>
        <w:ind w:firstLine="420" w:firstLineChars="200"/>
        <w:jc w:val="center"/>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drawing>
          <wp:inline distT="0" distB="0" distL="114300" distR="114300">
            <wp:extent cx="3327400" cy="489585"/>
            <wp:effectExtent l="0" t="0" r="10160" b="13335"/>
            <wp:docPr id="22" name="图片 22" descr="167150137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1501374642"/>
                    <pic:cNvPicPr>
                      <a:picLocks noChangeAspect="1"/>
                    </pic:cNvPicPr>
                  </pic:nvPicPr>
                  <pic:blipFill>
                    <a:blip r:embed="rId15"/>
                    <a:stretch>
                      <a:fillRect/>
                    </a:stretch>
                  </pic:blipFill>
                  <pic:spPr>
                    <a:xfrm>
                      <a:off x="0" y="0"/>
                      <a:ext cx="3327400" cy="489585"/>
                    </a:xfrm>
                    <a:prstGeom prst="rect">
                      <a:avLst/>
                    </a:prstGeom>
                  </pic:spPr>
                </pic:pic>
              </a:graphicData>
            </a:graphic>
          </wp:inline>
        </w:drawing>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五、主要整改措施</w:t>
      </w:r>
    </w:p>
    <w:p>
      <w:pPr>
        <w:pStyle w:val="32"/>
        <w:keepNext w:val="0"/>
        <w:keepLines w:val="0"/>
        <w:pageBreakBefore w:val="0"/>
        <w:kinsoku/>
        <w:wordWrap/>
        <w:overflowPunct/>
        <w:topLinePunct w:val="0"/>
        <w:autoSpaceDE/>
        <w:autoSpaceDN/>
        <w:bidi w:val="0"/>
        <w:adjustRightInd/>
        <w:spacing w:before="78" w:beforeLines="25" w:after="78" w:afterLines="25" w:line="360" w:lineRule="auto"/>
        <w:ind w:firstLine="482" w:firstLineChars="200"/>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一</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积极落实学生就业方案，多渠道助力学生就业质量提升</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进一步优化学院</w:t>
      </w:r>
      <w:r>
        <w:rPr>
          <w:rFonts w:hint="eastAsia" w:ascii="宋体" w:hAnsi="宋体" w:eastAsia="宋体" w:cs="宋体"/>
          <w:b w:val="0"/>
          <w:bCs w:val="0"/>
          <w:color w:val="auto"/>
          <w:sz w:val="24"/>
          <w:szCs w:val="24"/>
          <w:lang w:val="en-US" w:eastAsia="zh-CN"/>
        </w:rPr>
        <w:t>《学生就业推进方案》，在</w:t>
      </w:r>
      <w:r>
        <w:rPr>
          <w:rFonts w:hint="eastAsia" w:ascii="宋体" w:hAnsi="宋体" w:eastAsia="宋体" w:cs="宋体"/>
          <w:color w:val="auto"/>
          <w:sz w:val="24"/>
          <w:szCs w:val="24"/>
          <w:lang w:val="en-US" w:eastAsia="zh-CN"/>
        </w:rPr>
        <w:t>做好专业教学的基础上，充分调动发挥好班主任、辅导员的积极性，依托师生协助高度重视学生就业创业指导，特别值得关注的是</w:t>
      </w:r>
      <w:r>
        <w:rPr>
          <w:rFonts w:hint="eastAsia" w:ascii="宋体" w:hAnsi="宋体" w:eastAsia="宋体" w:cs="宋体"/>
          <w:b w:val="0"/>
          <w:bCs w:val="0"/>
          <w:color w:val="auto"/>
          <w:kern w:val="2"/>
          <w:sz w:val="24"/>
          <w:szCs w:val="24"/>
          <w:vertAlign w:val="baseline"/>
          <w:lang w:val="en-US" w:eastAsia="zh-CN" w:bidi="ar-SA"/>
        </w:rPr>
        <w:t>2017届~2021届毕业生选择自主创业的比例（分别为2.6%、3.1%、3.5%、1.6%、2.4%）升降中略有波动，在疫情影响就业的背景下，更应受到必要重视。</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在未来的教育教学中，要进一步关注对学生自主创新创业能力的培养与引导，从课程设置到实践训练，加大对学生创新创业技能的培训，进一步扎实推进</w:t>
      </w:r>
      <w:r>
        <w:rPr>
          <w:rFonts w:hint="eastAsia" w:ascii="宋体" w:hAnsi="宋体" w:eastAsia="宋体" w:cs="宋体"/>
          <w:b w:val="0"/>
          <w:bCs w:val="0"/>
          <w:color w:val="auto"/>
          <w:kern w:val="2"/>
          <w:sz w:val="24"/>
          <w:szCs w:val="24"/>
          <w:lang w:val="en-US" w:eastAsia="zh-CN" w:bidi="ar-SA"/>
        </w:rPr>
        <w:t>大学生创新创业课程的校企合作</w:t>
      </w:r>
      <w:r>
        <w:rPr>
          <w:rFonts w:hint="eastAsia" w:ascii="宋体" w:hAnsi="宋体" w:eastAsia="宋体" w:cs="宋体"/>
          <w:b w:val="0"/>
          <w:bCs w:val="0"/>
          <w:color w:val="auto"/>
          <w:kern w:val="2"/>
          <w:sz w:val="24"/>
          <w:szCs w:val="24"/>
          <w:vertAlign w:val="baseline"/>
          <w:lang w:val="en-US" w:eastAsia="zh-CN" w:bidi="ar-SA"/>
        </w:rPr>
        <w:t>，提高课程培训的有效性；充分</w:t>
      </w:r>
      <w:r>
        <w:rPr>
          <w:rFonts w:hint="eastAsia" w:ascii="宋体" w:hAnsi="宋体" w:eastAsia="宋体" w:cs="宋体"/>
          <w:b w:val="0"/>
          <w:bCs w:val="0"/>
          <w:color w:val="auto"/>
          <w:kern w:val="2"/>
          <w:sz w:val="24"/>
          <w:szCs w:val="24"/>
          <w:lang w:val="en-US" w:eastAsia="zh-CN" w:bidi="ar-SA"/>
        </w:rPr>
        <w:t>重视创新创业技能大赛</w:t>
      </w:r>
      <w:r>
        <w:rPr>
          <w:rFonts w:hint="eastAsia" w:ascii="宋体" w:hAnsi="宋体" w:eastAsia="宋体" w:cs="宋体"/>
          <w:b w:val="0"/>
          <w:bCs w:val="0"/>
          <w:color w:val="auto"/>
          <w:kern w:val="2"/>
          <w:sz w:val="24"/>
          <w:szCs w:val="24"/>
          <w:vertAlign w:val="baseline"/>
          <w:lang w:val="en-US" w:eastAsia="zh-CN" w:bidi="ar-SA"/>
        </w:rPr>
        <w:t>的组织、指导，做到“教赛结合，以赛促教，以赛促创”，切实学生就业创业做好准备，提升学生就业创业比率与质量。</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继续做好学院传统的“学生技能展示暨就业实习推介会”，充分利用新渠道，完善线上线下相结合的</w:t>
      </w:r>
    </w:p>
    <w:p>
      <w:pPr>
        <w:pStyle w:val="32"/>
        <w:keepNext w:val="0"/>
        <w:keepLines w:val="0"/>
        <w:pageBreakBefore w:val="0"/>
        <w:kinsoku/>
        <w:wordWrap/>
        <w:overflowPunct/>
        <w:topLinePunct w:val="0"/>
        <w:autoSpaceDE/>
        <w:autoSpaceDN/>
        <w:bidi w:val="0"/>
        <w:adjustRightInd/>
        <w:spacing w:before="78" w:beforeLines="25" w:after="78" w:afterLines="25" w:line="360" w:lineRule="auto"/>
        <w:ind w:firstLine="482" w:firstLineChars="200"/>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二</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全面铸造师德初心，持续推进“三全育人”落实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1.党建业务相融合，铸造新时代师德初心精神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面推进党建引领教师队伍建设，落实“三全育人”工程建设，深度推进教师思政与专业发展相融合，激发教师师德初心铸造，切实推进“敬业乐群、师表八荒”的校训和“立德树人、启智达贤”的院训精神，形成新时代的勤奋、求实、创新、奉献的精神风貌。</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2.推进师资团队建设，优化师资结构发展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结合学校升本创建工作，认真总结教师教学质量受学生高水平评价的经验，也适应不断变化的社会需求和不断更新知识发展，积极促进教师自我创新、自我提升教师，不断打造各具特色的教学团队与研究团队，推进教师命运共同体建设。广开渠道，通过“智贤名师讲堂”、“智贤学术沙龙”等形式，利用业务例会学习，促进教师在学习、科研、教学、育人等方面展开全面深入的交流合作，从而提升学院教师服务学生水平的提升，真正做到“三全育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持续推进博士、教授、名师、高层次人才培养工程，学院不断创造条件，鼓励教师专业进修学习，推动师资整体高端化发展。积极促进教师双师素养提升，依托产学研计划和学院各专业的实习实践基地，落实“双导师”制等，大力推进教师挂职锻炼，以大力提升教师的专业实践技能和能力。</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鉴于近年年轻教师大批量招聘入职的情况，学院会进一步强化“智贤青年教师培养工程”，加大对青年教师的德艺双修的培养，加快其适岗时间，促进其在教书育人科研等方面的快速发展。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3.强化高级别教科研项目培育，促进教科研和谐全面发展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依托学院专业建设与发展，依托升本创建，积极梳理各类高级别科研教学类的课题，动员组织教师积极申报各类课题，立足“省重点专业群”项目、“乡村行动计划”“美育浸润计划”“三全育人”工程，围绕专业发展、课程体系、教学模式、教学理念、教学手段、人才培养等开展学院科研项目培育，形成基础研究与高级别项目研究相扶持、理论研究与应用研究相结合的多维度科研生态环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依托课题研究的项目，进而积极促进相关科研成果的孕育与产生，进而推进教研相长的生态形成。推进各类研究所建设，搭建研究平台，为教师科研教改提供交流平台。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4.立足立德教书育人，推进生师深度交流</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生师交流是教师与与学生作为二元主体的对话，是教育教学的各项工作顺利开展的必要渠道和有力保障，鉴于专业教师同时担任班主任，大力推进学工辅导员队伍和专业教师队伍“两手抓”服务常态化。形成院主要领导、分管领导、辅导员、班主任及任课教师，多层级、立体化、常态化的学生交流机制。同时，依托各类活动、比赛、项目大力推进专业教师参与学生管理，推进学生管理与专业教学相融合，教书与育人相融合，学工思政与课程思政融合的局面。</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多渠道、多形式促进师生交流，依托考勤制度、班会交流、学习讲评、专业讲座、思政文化讲座、社会实践活动等方式打破传统的学生管理工作与学生交流模式的束缚，全员、全过程、全方位推进师生互动，促进人才德智体美劳的全面培养，促进学生树立正确的人生观、价值观、道德观、爱情观与终生学习的理念，进一步促进学生形成坚定的专业信念和深厚的专业情怀。</w:t>
      </w:r>
    </w:p>
    <w:p>
      <w:pPr>
        <w:pStyle w:val="32"/>
        <w:keepNext w:val="0"/>
        <w:keepLines w:val="0"/>
        <w:pageBreakBefore w:val="0"/>
        <w:kinsoku/>
        <w:wordWrap/>
        <w:overflowPunct/>
        <w:topLinePunct w:val="0"/>
        <w:autoSpaceDE/>
        <w:autoSpaceDN/>
        <w:bidi w:val="0"/>
        <w:adjustRightInd/>
        <w:spacing w:before="78" w:beforeLines="25" w:after="78" w:afterLines="25" w:line="360" w:lineRule="auto"/>
        <w:ind w:firstLine="482" w:firstLineChars="200"/>
        <w:textAlignment w:val="auto"/>
        <w:rPr>
          <w:rFonts w:hint="eastAsia" w:ascii="宋体" w:hAnsi="宋体" w:eastAsia="宋体" w:cs="宋体"/>
          <w:color w:val="auto"/>
          <w:kern w:val="2"/>
          <w:sz w:val="24"/>
          <w:szCs w:val="24"/>
          <w:lang w:val="en-US" w:eastAsia="zh-CN"/>
        </w:rPr>
      </w:pPr>
      <w:r>
        <w:rPr>
          <w:rFonts w:hint="eastAsia" w:ascii="宋体" w:hAnsi="宋体" w:eastAsia="宋体" w:cs="宋体"/>
          <w:b/>
          <w:bCs/>
          <w:color w:val="auto"/>
          <w:kern w:val="2"/>
          <w:sz w:val="24"/>
          <w:szCs w:val="24"/>
          <w:lang w:val="en-US" w:eastAsia="zh-CN" w:bidi="ar-SA"/>
        </w:rPr>
        <w:t>（三）充分发挥升本创建契机，“产教学研”融合破实习实践难题</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学前教育专业为学校升本创建重点专业，借助学校升本创建，学院大力推进各类软硬件设施建设提升，积极升级拓展校内外实践实训基地建设，结合“智贤型”人才培养，深耕学院产学研集成平台等系列高级别项目建设，创新思维，全面推进“产教学研”协同发展。</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1.推进“产学研”平台建设，深耕校内外实习实训基地</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学院儿童教育与发展实训平台获评江苏省高等职业教育产教深度融合实训平台、教育部高等职业教育创新发展行动计划生产性实训基地；儿童教育与发展产教融合集成平台获评江苏省高等职业教育产教融合集成平台；学院获评江苏省科研先进集体，为学院进一步发挥这些高水平基地的作用，促进“产教学研”深度融合，创造有利条件。</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目前，学院签有77家校外实践基地，校企合作为学生开展教师资格证考前辅导，接收学院学生毕业实习，促进“课证融通、赛训结合”，开展产学研项目，共享师资，聘用行业专家为教育实践指导教师，其中4卓越幼儿园园长型专家，成为学校产业教授，另有2位正在审批中，深度参与学院人才培养方案制定、专业教学、教师能力大赛、学生技能大赛指导或校外兼职督导，取得了优异的成绩；同时，坚持遴选青年教师去幼儿园挂职锻炼，2022年度依托国培省培选送1位青年教师赴连云港春辉幼教集团顶岗实践，未来结合近年新进年轻教师增多的情况，学院会加大青年教师到产学研基地的选派力度。</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学院与相关学校（幼儿园）、行业企业合作成立产教联盟，产学研深度融合将进一步推进“省幼儿园课程游戏化建设项目”，推进省重点专业群“学前教育专业群”建设，平台促进专业群内、群间优势资源共享，形成基于专业群的产学研大融合格局，形成校政行企多元命运共同体的协同发展，进一步打开学生实习实践的指导、交流、优化，更好的为学生专业发展、地方社会文化教育发展服务。</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2.优化人才培养模式改革，推进全息实践教学体系构建</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人才培养模式是人才培养理念的完整体现，也是人才培养落地的依据，凝聚了专业人才培养的灵魂。人才培养方案调整更进一步优化理论课程与实践课程的搭配，兼顾理论课程的实践实施，实践课程的校内外贯彻，并充分发挥学院重大（点）项目“江苏省卓越幼儿教师培养项目”、“江苏省美育浸润行动计划”、“智贤乡村行动计划”，整合课程教学、专业实践、社会实践、校政行企的优势资源，推进专业发展。</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改革人才培养模式，多渠道、多平台、多形式推进产学研活动，基本建成以省内为主，辐射全国的实践基地群，通过院园共建、教师挂职、岗位互置、双导师聘任等方式强化院园合作，开展多形式的产学研活动如技能汇报演出、实习推介会、名师讲堂等，扩大专业影响力。</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加强实践教学规范化、精细化管理，优化实践教学师资配备，积极展开实践教学评价。对照学校的相关文件要求，对实践教学质量标准进行梳理和细化，构建实践教学质量评价体系，强化过程管理；以座谈会、实地调研、调查问卷等多种方式对在校学生、毕业生、实习基地、用人单位等展开调研，多维度、多层面了解实践实训开展情况，依据评价数据积极改进教学与管理。</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bCs/>
          <w:color w:val="auto"/>
          <w:kern w:val="2"/>
          <w:sz w:val="24"/>
          <w:szCs w:val="24"/>
          <w:lang w:val="en-US" w:eastAsia="zh-CN" w:bidi="ar-SA"/>
        </w:rPr>
        <w:t>（四）强化技能训练，深化“课证融通”</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2021届毕业生职业资格类获证率72%，较2020届（60%）有明显提升，但是，对各专业教学特别是师范教育为主体的专业教学提出警示。学院结合专业认证标准，推进“赛训结合、课证融通”，强化实践教学，加强管理，提升质量，促进职业资格类、语言类、计算机类和1+X类证书的获取率。</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首先，推进全方位实践教学体系构建，将教育实践贯穿于人才培养的全过程，形成教育见习、教育研习、教育实习为主，课程教学实践、第二课堂辅助的“长流水、不断线”实践教学体系，依托见实习实践和大学生实践创新项目、教师专业科研课题开展，加大教育研习的构建与推进。</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其次，全面推进“以赛促练、以赛促建、以赛促改”的训练体系。以师范生基本功大赛、职业技能大赛、创新创业大赛为切口，强化日常技能训练，通过每日一练、每周一展、每月一赛、寒暑假作业以及借助实习推介会的年度技能展示等形式使技能训练常态化，以技能训练成果反馈教学，促进实践教学课程的改革与提升，促进“赛练考评展”的技能实践模式。</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另外，深化“课证融通”的课程体系，搭建“校企合作”的学习平台，提供“线上线下相结合”的学习渠道，形成学生职业资格证书制度化管理方案，落实班主任责任制，强化班主任在学生考证监管中的促进作用。</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最后，可以充分发挥继续教育的服务功能，积极引进优质课证融合服务机构，拓展学生考证服务课堂，为满足学生考证需求提供普及性、提优性服务，为学生未来从业相关证书考取保驾护航。</w:t>
      </w:r>
    </w:p>
    <w:p>
      <w:pPr>
        <w:pStyle w:val="32"/>
        <w:keepNext w:val="0"/>
        <w:keepLines w:val="0"/>
        <w:pageBreakBefore w:val="0"/>
        <w:kinsoku/>
        <w:wordWrap/>
        <w:overflowPunct/>
        <w:topLinePunct w:val="0"/>
        <w:autoSpaceDE/>
        <w:autoSpaceDN/>
        <w:bidi w:val="0"/>
        <w:adjustRightInd/>
        <w:spacing w:before="78" w:beforeLines="25" w:after="78" w:afterLines="25" w:line="360" w:lineRule="auto"/>
        <w:ind w:firstLine="482" w:firstLineChars="200"/>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lang w:val="en-US" w:eastAsia="zh-CN"/>
        </w:rPr>
        <w:t>五</w:t>
      </w: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lang w:val="en-US" w:eastAsia="zh-CN"/>
        </w:rPr>
        <w:t>优化继续教育服务，多渠道满足学生学历提升</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2017~2021届毕业生</w:t>
      </w:r>
      <w:r>
        <w:rPr>
          <w:rFonts w:hint="eastAsia" w:ascii="宋体" w:hAnsi="宋体" w:eastAsia="宋体" w:cs="宋体"/>
          <w:b w:val="0"/>
          <w:bCs w:val="0"/>
          <w:color w:val="auto"/>
          <w:kern w:val="2"/>
          <w:sz w:val="24"/>
          <w:szCs w:val="24"/>
          <w:vertAlign w:val="baseline"/>
          <w:lang w:val="en-US" w:eastAsia="zh-CN" w:bidi="ar-SA"/>
        </w:rPr>
        <w:t>，尤其在就业压力变大的情况下，</w:t>
      </w:r>
      <w:r>
        <w:rPr>
          <w:rFonts w:hint="eastAsia" w:ascii="宋体" w:hAnsi="宋体" w:eastAsia="宋体" w:cs="宋体"/>
          <w:color w:val="auto"/>
          <w:sz w:val="24"/>
          <w:szCs w:val="24"/>
          <w:lang w:val="en-US" w:eastAsia="zh-CN"/>
        </w:rPr>
        <w:t>就读本科的比例从院校两级看基本呈上扬趋势（院/校：9.63%/19.94%、13.37%/20.54%、24.24%/28.82%、25.47%/33.30%、27.17%/25.85%）；专转本不成功的学生，2020、2021两届毕业生备升学率5.6%、11.2%；出国比率0.88%、0.63%。</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color w:val="auto"/>
          <w:sz w:val="24"/>
          <w:szCs w:val="24"/>
          <w:lang w:val="en-US" w:eastAsia="zh-CN"/>
        </w:rPr>
        <w:t>助力学生</w:t>
      </w:r>
      <w:r>
        <w:rPr>
          <w:rFonts w:hint="eastAsia" w:ascii="宋体" w:hAnsi="宋体" w:eastAsia="宋体" w:cs="宋体"/>
          <w:b w:val="0"/>
          <w:bCs w:val="0"/>
          <w:color w:val="auto"/>
          <w:kern w:val="2"/>
          <w:sz w:val="24"/>
          <w:szCs w:val="24"/>
          <w:vertAlign w:val="baseline"/>
          <w:lang w:val="en-US" w:eastAsia="zh-CN" w:bidi="ar-SA"/>
        </w:rPr>
        <w:t>继续深造，学院应始终坚持以学生为中心，真正站在学生立场，除了从课程体系构建等方面考虑学生转本课程对接外，还应该充分发挥继续教育作用，专转本、助学本、专升本等多渠道为学生学历提升创造条件。</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深入调研、全面统计、了解需求、创设环境、搭建平台、构建政策、大力宣传，构建校、院、师、生、社会多方共赢的助学本教育教学体系，满足学生从专科到本科甚至研究生学习的跨越式规划，让学生助学本明晰助学本的与其他学历提升的区别和联系，完全知晓其政策、性质、内涵以及其在专转本、求职、考研中的价值。</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同时，积极创造条件推进与俄罗斯奔萨大学、加拿大圣劳伦斯学院的合作项目，持续关注拓展与澳大利亚昆士兰科技大学、俄罗斯莫斯科师范大学以及中韩明知大学交换生，为学生出国学习开拓渠道。</w:t>
      </w:r>
    </w:p>
    <w:p>
      <w:pPr>
        <w:pStyle w:val="10"/>
        <w:keepNext w:val="0"/>
        <w:keepLines w:val="0"/>
        <w:pageBreakBefore w:val="0"/>
        <w:pBdr>
          <w:bottom w:val="none" w:color="auto" w:sz="0" w:space="0"/>
        </w:pBdr>
        <w:tabs>
          <w:tab w:val="right" w:pos="8674"/>
          <w:tab w:val="clear" w:pos="4153"/>
          <w:tab w:val="clear" w:pos="8306"/>
        </w:tabs>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kern w:val="2"/>
          <w:sz w:val="24"/>
          <w:szCs w:val="24"/>
          <w:vertAlign w:val="baseline"/>
          <w:lang w:val="en-US" w:eastAsia="zh-CN" w:bidi="ar-SA"/>
        </w:rPr>
      </w:pPr>
    </w:p>
    <w:p>
      <w:pPr>
        <w:ind w:firstLine="1687" w:firstLineChars="600"/>
        <w:jc w:val="both"/>
        <w:rPr>
          <w:rFonts w:hint="default" w:eastAsiaTheme="minorEastAsia"/>
          <w:sz w:val="24"/>
          <w:szCs w:val="24"/>
          <w:lang w:val="en-US" w:eastAsia="zh-CN"/>
        </w:rPr>
      </w:pPr>
      <w:r>
        <w:rPr>
          <w:rFonts w:hint="eastAsia" w:asciiTheme="minorEastAsia" w:hAnsiTheme="minorEastAsia" w:eastAsiaTheme="minorEastAsia" w:cstheme="minorEastAsia"/>
          <w:b/>
          <w:bCs/>
          <w:kern w:val="2"/>
          <w:sz w:val="28"/>
          <w:szCs w:val="28"/>
          <w:lang w:val="en-US" w:eastAsia="zh-CN" w:bidi="ar-SA"/>
        </w:rPr>
        <w:t>文学院毕业生培养质量年度整改报告</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文学院结合《麦可思毕业生培养质量评价报告（202</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届）》和《麦可思毕业生培养质量中期评价报告（</w:t>
      </w:r>
      <w:r>
        <w:rPr>
          <w:rFonts w:hint="eastAsia" w:ascii="宋体" w:hAnsi="宋体" w:eastAsia="宋体" w:cs="宋体"/>
          <w:sz w:val="24"/>
          <w:szCs w:val="24"/>
          <w:lang w:val="en-US" w:eastAsia="zh-CN"/>
        </w:rPr>
        <w:t>2021</w:t>
      </w:r>
      <w:r>
        <w:rPr>
          <w:rFonts w:hint="eastAsia" w:ascii="宋体" w:hAnsi="宋体" w:eastAsia="宋体" w:cs="宋体"/>
          <w:sz w:val="24"/>
          <w:szCs w:val="24"/>
          <w:lang w:eastAsia="zh-CN"/>
        </w:rPr>
        <w:t>届）》，从专业、课程、教师、学生五个层面，对就业质量、教学培养过程反馈、专业主要指标趋势分析等方面进行分析。</w:t>
      </w:r>
      <w:r>
        <w:rPr>
          <w:rFonts w:hint="eastAsia" w:ascii="宋体" w:hAnsi="宋体" w:eastAsia="宋体" w:cs="宋体"/>
          <w:sz w:val="24"/>
          <w:szCs w:val="24"/>
          <w:lang w:val="en-US" w:eastAsia="zh-CN"/>
        </w:rPr>
        <w:t>学院各</w:t>
      </w:r>
      <w:r>
        <w:rPr>
          <w:rFonts w:hint="eastAsia" w:ascii="宋体" w:hAnsi="宋体" w:eastAsia="宋体" w:cs="宋体"/>
          <w:sz w:val="24"/>
          <w:szCs w:val="24"/>
          <w:lang w:eastAsia="zh-CN"/>
        </w:rPr>
        <w:t>专业</w:t>
      </w:r>
      <w:r>
        <w:rPr>
          <w:rFonts w:hint="eastAsia" w:ascii="宋体" w:hAnsi="宋体" w:eastAsia="宋体" w:cs="宋体"/>
          <w:sz w:val="24"/>
          <w:szCs w:val="24"/>
          <w:lang w:val="en-US" w:eastAsia="zh-CN"/>
        </w:rPr>
        <w:t>毕业生</w:t>
      </w:r>
      <w:r>
        <w:rPr>
          <w:rFonts w:hint="eastAsia" w:ascii="宋体" w:hAnsi="宋体" w:eastAsia="宋体" w:cs="宋体"/>
          <w:sz w:val="24"/>
          <w:szCs w:val="24"/>
          <w:lang w:eastAsia="zh-CN"/>
        </w:rPr>
        <w:t>就业质量、教学培养过程反馈、主要指标趋势分析三个方面整改分析如下。</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语文教育专业</w:t>
      </w:r>
    </w:p>
    <w:p>
      <w:pPr>
        <w:keepNext w:val="0"/>
        <w:keepLines w:val="0"/>
        <w:pageBreakBefore w:val="0"/>
        <w:widowControl w:val="0"/>
        <w:numPr>
          <w:numId w:val="0"/>
        </w:numPr>
        <w:kinsoku/>
        <w:wordWrap/>
        <w:overflowPunct/>
        <w:topLinePunct w:val="0"/>
        <w:autoSpaceDE/>
        <w:autoSpaceDN/>
        <w:bidi w:val="0"/>
        <w:adjustRightInd/>
        <w:snapToGrid w:val="0"/>
        <w:spacing w:line="360" w:lineRule="auto"/>
        <w:ind w:firstLine="241" w:firstLineChars="1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（一）就业质量分析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语文教育专业</w:t>
      </w:r>
      <w:r>
        <w:rPr>
          <w:rFonts w:hint="eastAsia" w:ascii="宋体" w:hAnsi="宋体" w:eastAsia="宋体" w:cs="宋体"/>
          <w:sz w:val="24"/>
          <w:szCs w:val="24"/>
        </w:rPr>
        <w:t>培养具有良好的政治素养、职业道德，具有一定的科学文化水平、创新意识和工匠精神，掌握与语文教育教学工作相关的基本理论和基本技能，能适应时代要求，具有较强的就业创业能力，能从事教育、管理相关工作的德才兼备的高级应用型人才</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专业目前仅对省外招生。2021年，本专业毕业生就业率为99.38%，而截至目前为止，2022届本专业毕业生的就业率仅为70.71%，原因为更多的学生有升学意愿。2022届语文教育专业毕业生升学成功63人，占本专业毕业生人数的22.18%。在已就业的毕业生当中，当前就业现状满意度为59.88%，岗位与专业相关度为55.56%。根据调查数据显示，本专业19.75%的已就业毕业生有离职意愿，因本专业为师范类专业，有部分学生选择先就业再择业，或专心考取编制，以期达到自己职业需求。</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（二）教学培养过程反馈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从毕业生所在单位和毕业生</w:t>
      </w:r>
      <w:r>
        <w:rPr>
          <w:rFonts w:hint="eastAsia" w:ascii="宋体" w:hAnsi="宋体" w:eastAsia="宋体" w:cs="宋体"/>
          <w:sz w:val="24"/>
          <w:szCs w:val="24"/>
          <w:lang w:val="en-US" w:eastAsia="zh-CN"/>
        </w:rPr>
        <w:t>个人</w:t>
      </w:r>
      <w:r>
        <w:rPr>
          <w:rFonts w:hint="eastAsia" w:ascii="宋体" w:hAnsi="宋体" w:eastAsia="宋体" w:cs="宋体"/>
          <w:sz w:val="24"/>
          <w:szCs w:val="24"/>
        </w:rPr>
        <w:t>反馈的情况</w:t>
      </w:r>
      <w:r>
        <w:rPr>
          <w:rFonts w:hint="eastAsia" w:ascii="宋体" w:hAnsi="宋体" w:eastAsia="宋体" w:cs="宋体"/>
          <w:sz w:val="24"/>
          <w:szCs w:val="24"/>
          <w:lang w:val="en-US" w:eastAsia="zh-CN"/>
        </w:rPr>
        <w:t>来</w:t>
      </w:r>
      <w:r>
        <w:rPr>
          <w:rFonts w:hint="eastAsia" w:ascii="宋体" w:hAnsi="宋体" w:eastAsia="宋体" w:cs="宋体"/>
          <w:sz w:val="24"/>
          <w:szCs w:val="24"/>
        </w:rPr>
        <w:t>看，本专业毕业生的技能素质较高，敬业精神强，能吃苦，对学校的培养也基本满意</w:t>
      </w:r>
      <w:r>
        <w:rPr>
          <w:rFonts w:hint="eastAsia" w:ascii="宋体" w:hAnsi="宋体" w:eastAsia="宋体" w:cs="宋体"/>
          <w:sz w:val="24"/>
          <w:szCs w:val="24"/>
          <w:lang w:eastAsia="zh-CN"/>
        </w:rPr>
        <w:t>。</w:t>
      </w:r>
      <w:r>
        <w:rPr>
          <w:rFonts w:hint="eastAsia" w:ascii="宋体" w:hAnsi="宋体" w:eastAsia="宋体" w:cs="宋体"/>
          <w:sz w:val="24"/>
          <w:szCs w:val="24"/>
        </w:rPr>
        <w:t>但毕业生的综合素质还存在一些欠缺，部分学生专业知识不扎实，这些问题已成为影响毕业生向高层次发展和接受继续教育的最大障碍。因此本专业为实现未来的人才培养目标，应在以下几个方面采取措施，以提高教学质量，加快专业建设和发展，培养适应社会需求的高素质的人才。</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1.准确定位培养目标，合理优化培养方案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准确把握社会发展的人才需求，通过严谨科学的调查研究，准确定位人才培养目标，牢固树立人才培养的中心地位，进一步优化人才培养方案，构建结构合理、内容科学的课程知识体系。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2.对标专业认证，促进人才素质全面提升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师范类专业认证标准为导向，“以学生为中心、成果导向、持续改进”的理念开展专业建设，不断提升专业建设的规范性，进一步明确专业定位，优化人才培养方案，构建特色鲜明的课程体系，丰富教师实践经验并提升其专业素质，加强学生实践能力培养，完善教学质量监控体系，进而全面提升人才培养质量，提升就业竞争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3.开展教学方法研究，深化育人手段改革</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实现厚基础、宽口径、强能力、高素质的专业人才培养目标，积极推进教学方法、教学手段和考核手段的改革。全面推进和实施项目驱动、案例引导和师生探究式教学法。积极推行学习评价手段的改革，加大对学习过程的全面考核，促进学生的协作学习，帮助学生实现自主学习和个性化学习，提升学生对于学习的参与度、主动性和兴趣，从而提高教学质量和效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4.营造创新创业氛围，大力开展创新创业教育</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通过校校、校地多方融合，充分利用校内外优质资源，为学生开展创新创业营造氛围、搭建平台，促进学生创新实践上层次、创业探索成气候。持续发挥“第二课堂”的育人功能，在省高校大学生创新创业训练计划等方面取得具有创新性的研究成果。</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（三）主要指标趋势分析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毕业生就业率、工作与专业相关度、就业现状满意度、离职率、教学满意度等指标分析得出：该专业有超过半数毕业生就业方向偏移专业方向，有些同学通过专转本考试，继续深造；部分同学虽然已经就业，但是所就业岗位并不和自身专业相关，就业的同时，仍考虑参与当地教育局教师招聘，并最终成为了当地的一名编制内小学教师，从事本专业既定目标岗位；另有部分同学选择改行就业。这些充分说明：当前师范类毕业生还是按照既定方向发展，如何帮助学生拓宽就业渠道是一个值得思考的问题。</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汉语专业</w:t>
      </w:r>
    </w:p>
    <w:p>
      <w:pPr>
        <w:keepNext w:val="0"/>
        <w:keepLines w:val="0"/>
        <w:pageBreakBefore w:val="0"/>
        <w:widowControl w:val="0"/>
        <w:numPr>
          <w:numId w:val="0"/>
        </w:numPr>
        <w:kinsoku/>
        <w:wordWrap/>
        <w:overflowPunct/>
        <w:topLinePunct w:val="0"/>
        <w:autoSpaceDE/>
        <w:autoSpaceDN/>
        <w:bidi w:val="0"/>
        <w:adjustRightInd/>
        <w:snapToGrid w:val="0"/>
        <w:spacing w:line="360" w:lineRule="auto"/>
        <w:ind w:left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（一）专业就业质量分析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汉语（新媒体）是我院近几年新开设的一个专业，生源主要以江苏生源为主，虽兼顾若干外省，但外省生源较少，该专业生源2016级-2019级主要是通过注册入学</w:t>
      </w:r>
      <w:r>
        <w:rPr>
          <w:rFonts w:hint="eastAsia" w:ascii="宋体" w:hAnsi="宋体" w:eastAsia="宋体" w:cs="宋体"/>
          <w:sz w:val="24"/>
          <w:szCs w:val="24"/>
          <w:lang w:eastAsia="zh-CN"/>
        </w:rPr>
        <w:t>，</w:t>
      </w:r>
      <w:r>
        <w:rPr>
          <w:rFonts w:hint="eastAsia" w:ascii="宋体" w:hAnsi="宋体" w:eastAsia="宋体" w:cs="宋体"/>
          <w:sz w:val="24"/>
          <w:szCs w:val="24"/>
        </w:rPr>
        <w:t>2016</w:t>
      </w:r>
      <w:r>
        <w:rPr>
          <w:rFonts w:hint="eastAsia" w:ascii="宋体" w:hAnsi="宋体" w:eastAsia="宋体" w:cs="宋体"/>
          <w:sz w:val="24"/>
          <w:szCs w:val="24"/>
          <w:lang w:val="en-US" w:eastAsia="zh-CN"/>
        </w:rPr>
        <w:t>届</w:t>
      </w:r>
      <w:r>
        <w:rPr>
          <w:rFonts w:hint="eastAsia" w:ascii="宋体" w:hAnsi="宋体" w:eastAsia="宋体" w:cs="宋体"/>
          <w:sz w:val="24"/>
          <w:szCs w:val="24"/>
        </w:rPr>
        <w:t>汉语班是该专业最早就业的一届学生。从本专业毕业生的就业率、工作与专业相关度、就业现状满意度、毕业生的离职率等方面来看，本校201</w:t>
      </w:r>
      <w:r>
        <w:rPr>
          <w:rFonts w:hint="eastAsia" w:ascii="宋体" w:hAnsi="宋体" w:eastAsia="宋体" w:cs="宋体"/>
          <w:sz w:val="24"/>
          <w:szCs w:val="24"/>
          <w:lang w:val="en-US" w:eastAsia="zh-CN"/>
        </w:rPr>
        <w:t>9</w:t>
      </w:r>
      <w:r>
        <w:rPr>
          <w:rFonts w:hint="eastAsia" w:ascii="宋体" w:hAnsi="宋体" w:eastAsia="宋体" w:cs="宋体"/>
          <w:sz w:val="24"/>
          <w:szCs w:val="24"/>
        </w:rPr>
        <w:t>-20</w:t>
      </w:r>
      <w:r>
        <w:rPr>
          <w:rFonts w:hint="eastAsia" w:ascii="宋体" w:hAnsi="宋体" w:eastAsia="宋体" w:cs="宋体"/>
          <w:sz w:val="24"/>
          <w:szCs w:val="24"/>
          <w:lang w:val="en-US" w:eastAsia="zh-CN"/>
        </w:rPr>
        <w:t>21</w:t>
      </w:r>
      <w:r>
        <w:rPr>
          <w:rFonts w:hint="eastAsia" w:ascii="宋体" w:hAnsi="宋体" w:eastAsia="宋体" w:cs="宋体"/>
          <w:sz w:val="24"/>
          <w:szCs w:val="24"/>
        </w:rPr>
        <w:t>届毕业生的就业率均在九成以上，分别为91.9%、93.1%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95.16%，呈逐年上升趋势。截至目前为止，该专业2022届毕业生就业率为80.32%，</w:t>
      </w:r>
      <w:r>
        <w:rPr>
          <w:rFonts w:hint="eastAsia" w:ascii="宋体" w:hAnsi="宋体" w:eastAsia="宋体" w:cs="宋体"/>
          <w:sz w:val="24"/>
          <w:szCs w:val="24"/>
        </w:rPr>
        <w:t>需</w:t>
      </w:r>
      <w:r>
        <w:rPr>
          <w:rFonts w:hint="eastAsia" w:ascii="宋体" w:hAnsi="宋体" w:eastAsia="宋体" w:cs="宋体"/>
          <w:sz w:val="24"/>
          <w:szCs w:val="24"/>
          <w:lang w:val="en-US" w:eastAsia="zh-CN"/>
        </w:rPr>
        <w:t>关注的是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剩余19.68%</w:t>
      </w:r>
      <w:r>
        <w:rPr>
          <w:rFonts w:hint="eastAsia" w:ascii="宋体" w:hAnsi="宋体" w:eastAsia="宋体" w:cs="宋体"/>
          <w:sz w:val="24"/>
          <w:szCs w:val="24"/>
        </w:rPr>
        <w:t>的毕业生未落实具体去向，目前处于找工作、准备升学或者有其他打算中。</w:t>
      </w:r>
      <w:r>
        <w:rPr>
          <w:rFonts w:hint="eastAsia" w:ascii="宋体" w:hAnsi="宋体" w:eastAsia="宋体" w:cs="宋体"/>
          <w:sz w:val="24"/>
          <w:szCs w:val="24"/>
          <w:lang w:val="en-US" w:eastAsia="zh-CN"/>
        </w:rPr>
        <w:t>2022年本专业共8人升学，占比13.11%，相对较低。就</w:t>
      </w:r>
      <w:r>
        <w:rPr>
          <w:rFonts w:hint="eastAsia" w:ascii="宋体" w:hAnsi="宋体" w:eastAsia="宋体" w:cs="宋体"/>
          <w:sz w:val="24"/>
          <w:szCs w:val="24"/>
        </w:rPr>
        <w:t>汉语</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新媒体</w:t>
      </w:r>
      <w:r>
        <w:rPr>
          <w:rFonts w:hint="eastAsia" w:ascii="宋体" w:hAnsi="宋体" w:eastAsia="宋体" w:cs="宋体"/>
          <w:sz w:val="24"/>
          <w:szCs w:val="24"/>
          <w:lang w:eastAsia="zh-CN"/>
        </w:rPr>
        <w:t>）</w:t>
      </w:r>
      <w:r>
        <w:rPr>
          <w:rFonts w:hint="eastAsia" w:ascii="宋体" w:hAnsi="宋体" w:eastAsia="宋体" w:cs="宋体"/>
          <w:sz w:val="24"/>
          <w:szCs w:val="24"/>
        </w:rPr>
        <w:t>专业20</w:t>
      </w:r>
      <w:r>
        <w:rPr>
          <w:rFonts w:hint="eastAsia" w:ascii="宋体" w:hAnsi="宋体" w:eastAsia="宋体" w:cs="宋体"/>
          <w:sz w:val="24"/>
          <w:szCs w:val="24"/>
          <w:lang w:val="en-US" w:eastAsia="zh-CN"/>
        </w:rPr>
        <w:t>22</w:t>
      </w:r>
      <w:r>
        <w:rPr>
          <w:rFonts w:hint="eastAsia" w:ascii="宋体" w:hAnsi="宋体" w:eastAsia="宋体" w:cs="宋体"/>
          <w:sz w:val="24"/>
          <w:szCs w:val="24"/>
        </w:rPr>
        <w:t>年就业满意度</w:t>
      </w:r>
      <w:r>
        <w:rPr>
          <w:rFonts w:hint="eastAsia" w:ascii="宋体" w:hAnsi="宋体" w:eastAsia="宋体" w:cs="宋体"/>
          <w:sz w:val="24"/>
          <w:szCs w:val="24"/>
          <w:lang w:val="en-US" w:eastAsia="zh-CN"/>
        </w:rPr>
        <w:t>以及专业相关度来看，56.26%的毕业生对自己当前工作比较满意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43.75%的毕业生选择与自身专业相关的岗位就业，对于</w:t>
      </w:r>
      <w:r>
        <w:rPr>
          <w:rFonts w:hint="eastAsia" w:ascii="宋体" w:hAnsi="宋体" w:eastAsia="宋体" w:cs="宋体"/>
          <w:sz w:val="24"/>
          <w:szCs w:val="24"/>
        </w:rPr>
        <w:t>部分</w:t>
      </w:r>
      <w:r>
        <w:rPr>
          <w:rFonts w:hint="eastAsia" w:ascii="宋体" w:hAnsi="宋体" w:eastAsia="宋体" w:cs="宋体"/>
          <w:sz w:val="24"/>
          <w:szCs w:val="24"/>
          <w:lang w:val="en-US" w:eastAsia="zh-CN"/>
        </w:rPr>
        <w:t>对当前岗位不满意以及</w:t>
      </w:r>
      <w:r>
        <w:rPr>
          <w:rFonts w:hint="eastAsia" w:ascii="宋体" w:hAnsi="宋体" w:eastAsia="宋体" w:cs="宋体"/>
          <w:sz w:val="24"/>
          <w:szCs w:val="24"/>
        </w:rPr>
        <w:t>选择</w:t>
      </w:r>
      <w:r>
        <w:rPr>
          <w:rFonts w:hint="eastAsia" w:ascii="宋体" w:hAnsi="宋体" w:eastAsia="宋体" w:cs="宋体"/>
          <w:sz w:val="24"/>
          <w:szCs w:val="24"/>
          <w:lang w:val="en-US" w:eastAsia="zh-CN"/>
        </w:rPr>
        <w:t>与</w:t>
      </w:r>
      <w:r>
        <w:rPr>
          <w:rFonts w:hint="eastAsia" w:ascii="宋体" w:hAnsi="宋体" w:eastAsia="宋体" w:cs="宋体"/>
          <w:sz w:val="24"/>
          <w:szCs w:val="24"/>
        </w:rPr>
        <w:t>专业无关工作</w:t>
      </w:r>
      <w:r>
        <w:rPr>
          <w:rFonts w:hint="eastAsia" w:ascii="宋体" w:hAnsi="宋体" w:eastAsia="宋体" w:cs="宋体"/>
          <w:sz w:val="24"/>
          <w:szCs w:val="24"/>
          <w:lang w:val="en-US" w:eastAsia="zh-CN"/>
        </w:rPr>
        <w:t>的毕业生而言，</w:t>
      </w:r>
      <w:r>
        <w:rPr>
          <w:rFonts w:hint="eastAsia" w:ascii="宋体" w:hAnsi="宋体" w:eastAsia="宋体" w:cs="宋体"/>
          <w:sz w:val="24"/>
          <w:szCs w:val="24"/>
        </w:rPr>
        <w:t>主要是</w:t>
      </w:r>
      <w:r>
        <w:rPr>
          <w:rFonts w:hint="eastAsia" w:ascii="宋体" w:hAnsi="宋体" w:eastAsia="宋体" w:cs="宋体"/>
          <w:sz w:val="24"/>
          <w:szCs w:val="24"/>
          <w:lang w:val="en-US" w:eastAsia="zh-CN"/>
        </w:rPr>
        <w:t>考虑</w:t>
      </w:r>
      <w:r>
        <w:rPr>
          <w:rFonts w:hint="eastAsia" w:ascii="宋体" w:hAnsi="宋体" w:eastAsia="宋体" w:cs="宋体"/>
          <w:sz w:val="24"/>
          <w:szCs w:val="24"/>
        </w:rPr>
        <w:t>先就业再择业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因此造成的</w:t>
      </w:r>
      <w:r>
        <w:rPr>
          <w:rFonts w:hint="eastAsia" w:ascii="宋体" w:hAnsi="宋体" w:eastAsia="宋体" w:cs="宋体"/>
          <w:sz w:val="24"/>
          <w:szCs w:val="24"/>
        </w:rPr>
        <w:t>专业相关工作不符合职业期待</w:t>
      </w:r>
      <w:r>
        <w:rPr>
          <w:rFonts w:hint="eastAsia" w:ascii="宋体" w:hAnsi="宋体" w:eastAsia="宋体" w:cs="宋体"/>
          <w:sz w:val="24"/>
          <w:szCs w:val="24"/>
          <w:lang w:val="en-US" w:eastAsia="zh-CN"/>
        </w:rPr>
        <w:t>等问题，今后在本专业学生培养过程中需予以重视，加以引导</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（二）教学培养过程反馈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体来看，本校2020届毕业生的培养目标总体了解度为92%，与2019届（91%）基本持平，大多数毕业生对培养目标有所了解，有利于培养目标的最终实现。同时，从培养目标各方面的了解度来看，本校2020届毕业生对毕业时应具备的能力、就业的行业和职业的了解度较高，而对培养定位的认知较为模糊，学校可在未来的培养目标解读过程中有所侧重。本校2020届毕业生对毕业要求的总体了解度为98%，较2019届（96%）略有提升，绝大多数毕业生对于本专业的毕业要求有一定的认知，有利于毕业要求的较好达成。文学院2020届毕业生对毕业要求的了解度为98%，2019年为95%，均呈较高水平。2020届文学院的教学满意度较2019届有所提高，具体为2020届占比98%，2019年为92%。</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（三）主要指标趋势分析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就业率，工作与专业相关度，就业现状满意度，离职率，教学满意度等指标分析得出：该专业有超过半数毕业生最终偏移专业就业方向，部分同学通过专转本考试，继续深造；部分同学虽已经就业，但通过考取小学教师资格证，再考上当地教育局教师招聘，最终成为了当地的一名编制内小学教师；另有部分同学选择改行就业。真正进入媒体、企业或者司法部门从事本专业既定目标岗位的同学，微乎其微。这充分说明：学生的择业思维还偏向于传统就业岗位，也充分说明，汉语专业要想与市场接轨，还需要不断摸索，任重道远。</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现代文秘专业</w:t>
      </w:r>
    </w:p>
    <w:p>
      <w:pPr>
        <w:keepNext w:val="0"/>
        <w:keepLines w:val="0"/>
        <w:pageBreakBefore w:val="0"/>
        <w:widowControl w:val="0"/>
        <w:numPr>
          <w:numId w:val="0"/>
        </w:numPr>
        <w:kinsoku/>
        <w:wordWrap/>
        <w:overflowPunct/>
        <w:topLinePunct w:val="0"/>
        <w:autoSpaceDE/>
        <w:autoSpaceDN/>
        <w:bidi w:val="0"/>
        <w:adjustRightInd/>
        <w:snapToGrid w:val="0"/>
        <w:spacing w:line="360" w:lineRule="auto"/>
        <w:ind w:left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（一）就业质量分析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现代</w:t>
      </w:r>
      <w:r>
        <w:rPr>
          <w:rFonts w:hint="eastAsia" w:ascii="宋体" w:hAnsi="宋体" w:eastAsia="宋体" w:cs="宋体"/>
          <w:sz w:val="24"/>
          <w:szCs w:val="24"/>
        </w:rPr>
        <w:t>文秘专业在我院开设</w:t>
      </w:r>
      <w:r>
        <w:rPr>
          <w:rFonts w:hint="eastAsia" w:ascii="宋体" w:hAnsi="宋体" w:eastAsia="宋体" w:cs="宋体"/>
          <w:sz w:val="24"/>
          <w:szCs w:val="24"/>
          <w:lang w:val="en-US" w:eastAsia="zh-CN"/>
        </w:rPr>
        <w:t>近十余年</w:t>
      </w:r>
      <w:r>
        <w:rPr>
          <w:rFonts w:hint="eastAsia" w:ascii="宋体" w:hAnsi="宋体" w:eastAsia="宋体" w:cs="宋体"/>
          <w:sz w:val="24"/>
          <w:szCs w:val="24"/>
        </w:rPr>
        <w:t>，</w:t>
      </w:r>
      <w:r>
        <w:rPr>
          <w:rFonts w:hint="eastAsia" w:ascii="宋体" w:hAnsi="宋体" w:eastAsia="宋体" w:cs="宋体"/>
          <w:sz w:val="24"/>
          <w:szCs w:val="24"/>
          <w:lang w:val="en-US" w:eastAsia="zh-CN"/>
        </w:rPr>
        <w:t>已</w:t>
      </w:r>
      <w:r>
        <w:rPr>
          <w:rFonts w:hint="eastAsia" w:ascii="宋体" w:hAnsi="宋体" w:eastAsia="宋体" w:cs="宋体"/>
          <w:sz w:val="24"/>
          <w:szCs w:val="24"/>
        </w:rPr>
        <w:t>建成校级品牌专业，2016届</w:t>
      </w:r>
      <w:r>
        <w:rPr>
          <w:rFonts w:hint="eastAsia" w:ascii="宋体" w:hAnsi="宋体" w:eastAsia="宋体" w:cs="宋体"/>
          <w:sz w:val="24"/>
          <w:szCs w:val="24"/>
          <w:lang w:val="en-US" w:eastAsia="zh-CN"/>
        </w:rPr>
        <w:t>之</w:t>
      </w:r>
      <w:r>
        <w:rPr>
          <w:rFonts w:hint="eastAsia" w:ascii="宋体" w:hAnsi="宋体" w:eastAsia="宋体" w:cs="宋体"/>
          <w:sz w:val="24"/>
          <w:szCs w:val="24"/>
        </w:rPr>
        <w:t>前的生源</w:t>
      </w:r>
      <w:r>
        <w:rPr>
          <w:rFonts w:hint="eastAsia" w:ascii="宋体" w:hAnsi="宋体" w:eastAsia="宋体" w:cs="宋体"/>
          <w:sz w:val="24"/>
          <w:szCs w:val="24"/>
          <w:lang w:val="en-US" w:eastAsia="zh-CN"/>
        </w:rPr>
        <w:t>均来自江苏省</w:t>
      </w:r>
      <w:r>
        <w:rPr>
          <w:rFonts w:hint="eastAsia" w:ascii="宋体" w:hAnsi="宋体" w:eastAsia="宋体" w:cs="宋体"/>
          <w:sz w:val="24"/>
          <w:szCs w:val="24"/>
        </w:rPr>
        <w:t>，</w:t>
      </w:r>
      <w:r>
        <w:rPr>
          <w:rFonts w:hint="eastAsia" w:ascii="宋体" w:hAnsi="宋体" w:eastAsia="宋体" w:cs="宋体"/>
          <w:sz w:val="24"/>
          <w:szCs w:val="24"/>
          <w:lang w:val="en-US" w:eastAsia="zh-CN"/>
        </w:rPr>
        <w:t>自</w:t>
      </w:r>
      <w:r>
        <w:rPr>
          <w:rFonts w:hint="eastAsia" w:ascii="宋体" w:hAnsi="宋体" w:eastAsia="宋体" w:cs="宋体"/>
          <w:sz w:val="24"/>
          <w:szCs w:val="24"/>
        </w:rPr>
        <w:t>2017届</w:t>
      </w:r>
      <w:r>
        <w:rPr>
          <w:rFonts w:hint="eastAsia" w:ascii="宋体" w:hAnsi="宋体" w:eastAsia="宋体" w:cs="宋体"/>
          <w:sz w:val="24"/>
          <w:szCs w:val="24"/>
          <w:lang w:val="en-US" w:eastAsia="zh-CN"/>
        </w:rPr>
        <w:t>起，生源</w:t>
      </w:r>
      <w:r>
        <w:rPr>
          <w:rFonts w:hint="eastAsia" w:ascii="宋体" w:hAnsi="宋体" w:eastAsia="宋体" w:cs="宋体"/>
          <w:sz w:val="24"/>
          <w:szCs w:val="24"/>
        </w:rPr>
        <w:t>开始发生结构</w:t>
      </w:r>
      <w:r>
        <w:rPr>
          <w:rFonts w:hint="eastAsia" w:ascii="宋体" w:hAnsi="宋体" w:eastAsia="宋体" w:cs="宋体"/>
          <w:sz w:val="24"/>
          <w:szCs w:val="24"/>
          <w:lang w:val="en-US" w:eastAsia="zh-CN"/>
        </w:rPr>
        <w:t>性</w:t>
      </w:r>
      <w:r>
        <w:rPr>
          <w:rFonts w:hint="eastAsia" w:ascii="宋体" w:hAnsi="宋体" w:eastAsia="宋体" w:cs="宋体"/>
          <w:sz w:val="24"/>
          <w:szCs w:val="24"/>
        </w:rPr>
        <w:t>变化，以江苏生源为主，兼顾外省生源，且</w:t>
      </w:r>
      <w:r>
        <w:rPr>
          <w:rFonts w:hint="eastAsia" w:ascii="宋体" w:hAnsi="宋体" w:eastAsia="宋体" w:cs="宋体"/>
          <w:sz w:val="24"/>
          <w:szCs w:val="24"/>
          <w:lang w:val="en-US" w:eastAsia="zh-CN"/>
        </w:rPr>
        <w:t>后者</w:t>
      </w:r>
      <w:r>
        <w:rPr>
          <w:rFonts w:hint="eastAsia" w:ascii="宋体" w:hAnsi="宋体" w:eastAsia="宋体" w:cs="宋体"/>
          <w:sz w:val="24"/>
          <w:szCs w:val="24"/>
        </w:rPr>
        <w:t>比例逐年增</w:t>
      </w:r>
      <w:r>
        <w:rPr>
          <w:rFonts w:hint="eastAsia" w:ascii="宋体" w:hAnsi="宋体" w:eastAsia="宋体" w:cs="宋体"/>
          <w:sz w:val="24"/>
          <w:szCs w:val="24"/>
          <w:lang w:val="en-US" w:eastAsia="zh-CN"/>
        </w:rPr>
        <w:t>加</w:t>
      </w:r>
      <w:r>
        <w:rPr>
          <w:rFonts w:hint="eastAsia" w:ascii="宋体" w:hAnsi="宋体" w:eastAsia="宋体" w:cs="宋体"/>
          <w:sz w:val="24"/>
          <w:szCs w:val="24"/>
        </w:rPr>
        <w:t>。</w:t>
      </w:r>
      <w:r>
        <w:rPr>
          <w:rFonts w:hint="eastAsia" w:ascii="宋体" w:hAnsi="宋体" w:eastAsia="宋体" w:cs="宋体"/>
          <w:sz w:val="24"/>
          <w:szCs w:val="24"/>
          <w:lang w:val="en-US" w:eastAsia="zh-CN"/>
        </w:rPr>
        <w:t>现代文秘</w:t>
      </w:r>
      <w:r>
        <w:rPr>
          <w:rFonts w:hint="eastAsia" w:ascii="宋体" w:hAnsi="宋体" w:eastAsia="宋体" w:cs="宋体"/>
          <w:sz w:val="24"/>
          <w:szCs w:val="24"/>
        </w:rPr>
        <w:t>专业</w:t>
      </w:r>
      <w:r>
        <w:rPr>
          <w:rFonts w:hint="eastAsia" w:ascii="宋体" w:hAnsi="宋体" w:eastAsia="宋体" w:cs="宋体"/>
          <w:sz w:val="24"/>
          <w:szCs w:val="24"/>
          <w:lang w:val="en-US" w:eastAsia="zh-CN"/>
        </w:rPr>
        <w:t>学生均经过</w:t>
      </w:r>
      <w:r>
        <w:rPr>
          <w:rFonts w:hint="eastAsia" w:ascii="宋体" w:hAnsi="宋体" w:eastAsia="宋体" w:cs="宋体"/>
          <w:sz w:val="24"/>
          <w:szCs w:val="24"/>
        </w:rPr>
        <w:t>全国普通高考入学，从本专业毕业生的就业率、</w:t>
      </w:r>
      <w:r>
        <w:rPr>
          <w:rFonts w:hint="eastAsia" w:ascii="宋体" w:hAnsi="宋体" w:eastAsia="宋体" w:cs="宋体"/>
          <w:sz w:val="24"/>
          <w:szCs w:val="24"/>
          <w:lang w:val="en-US" w:eastAsia="zh-CN"/>
        </w:rPr>
        <w:t>就业方向</w:t>
      </w:r>
      <w:r>
        <w:rPr>
          <w:rFonts w:hint="eastAsia" w:ascii="宋体" w:hAnsi="宋体" w:eastAsia="宋体" w:cs="宋体"/>
          <w:sz w:val="24"/>
          <w:szCs w:val="24"/>
        </w:rPr>
        <w:t>与专业相关度、就业现状满意度、毕业生的离职率等方面来看</w:t>
      </w:r>
      <w:r>
        <w:rPr>
          <w:rFonts w:hint="eastAsia" w:ascii="宋体" w:hAnsi="宋体" w:eastAsia="宋体" w:cs="宋体"/>
          <w:sz w:val="24"/>
          <w:szCs w:val="24"/>
          <w:lang w:eastAsia="zh-CN"/>
        </w:rPr>
        <w:t>：</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届</w:t>
      </w:r>
      <w:r>
        <w:rPr>
          <w:rFonts w:hint="eastAsia" w:ascii="宋体" w:hAnsi="宋体" w:eastAsia="宋体" w:cs="宋体"/>
          <w:sz w:val="24"/>
          <w:szCs w:val="24"/>
          <w:lang w:val="en-US" w:eastAsia="zh-CN"/>
        </w:rPr>
        <w:t>现代</w:t>
      </w:r>
      <w:r>
        <w:rPr>
          <w:rFonts w:hint="eastAsia" w:ascii="宋体" w:hAnsi="宋体" w:eastAsia="宋体" w:cs="宋体"/>
          <w:sz w:val="24"/>
          <w:szCs w:val="24"/>
        </w:rPr>
        <w:t>文秘专业就业率</w:t>
      </w:r>
      <w:r>
        <w:rPr>
          <w:rFonts w:hint="eastAsia" w:ascii="宋体" w:hAnsi="宋体" w:eastAsia="宋体" w:cs="宋体"/>
          <w:sz w:val="24"/>
          <w:szCs w:val="24"/>
          <w:lang w:val="en-US" w:eastAsia="zh-CN"/>
        </w:rPr>
        <w:t>达87.5</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学生</w:t>
      </w:r>
      <w:r>
        <w:rPr>
          <w:rFonts w:hint="eastAsia" w:ascii="宋体" w:hAnsi="宋体" w:eastAsia="宋体" w:cs="宋体"/>
          <w:sz w:val="24"/>
          <w:szCs w:val="24"/>
        </w:rPr>
        <w:t>就业现状满意度、</w:t>
      </w:r>
      <w:r>
        <w:rPr>
          <w:rFonts w:hint="eastAsia" w:ascii="宋体" w:hAnsi="宋体" w:eastAsia="宋体" w:cs="宋体"/>
          <w:sz w:val="24"/>
          <w:szCs w:val="24"/>
          <w:lang w:val="en-US" w:eastAsia="zh-CN"/>
        </w:rPr>
        <w:t>就业方向与专业相关度</w:t>
      </w:r>
      <w:r>
        <w:rPr>
          <w:rFonts w:hint="eastAsia" w:ascii="宋体" w:hAnsi="宋体" w:eastAsia="宋体" w:cs="宋体"/>
          <w:sz w:val="24"/>
          <w:szCs w:val="24"/>
        </w:rPr>
        <w:t>分别为</w:t>
      </w:r>
      <w:r>
        <w:rPr>
          <w:rFonts w:hint="eastAsia" w:ascii="宋体" w:hAnsi="宋体" w:eastAsia="宋体" w:cs="宋体"/>
          <w:sz w:val="24"/>
          <w:szCs w:val="24"/>
          <w:lang w:val="en-US" w:eastAsia="zh-CN"/>
        </w:rPr>
        <w:t>71.43</w:t>
      </w:r>
      <w:r>
        <w:rPr>
          <w:rFonts w:hint="eastAsia" w:ascii="宋体" w:hAnsi="宋体" w:eastAsia="宋体" w:cs="宋体"/>
          <w:sz w:val="24"/>
          <w:szCs w:val="24"/>
        </w:rPr>
        <w:t>%、</w:t>
      </w:r>
      <w:r>
        <w:rPr>
          <w:rFonts w:hint="eastAsia" w:ascii="宋体" w:hAnsi="宋体" w:eastAsia="宋体" w:cs="宋体"/>
          <w:sz w:val="24"/>
          <w:szCs w:val="24"/>
          <w:lang w:val="en-US" w:eastAsia="zh-CN"/>
        </w:rPr>
        <w:t>71.43</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结合毕业生去向，本</w:t>
      </w:r>
      <w:r>
        <w:rPr>
          <w:rFonts w:hint="eastAsia" w:ascii="宋体" w:hAnsi="宋体" w:eastAsia="宋体" w:cs="宋体"/>
          <w:sz w:val="24"/>
          <w:szCs w:val="24"/>
          <w:lang w:val="en-US" w:eastAsia="zh-CN"/>
        </w:rPr>
        <w:t>专业学生</w:t>
      </w:r>
      <w:r>
        <w:rPr>
          <w:rFonts w:hint="eastAsia" w:ascii="宋体" w:hAnsi="宋体" w:eastAsia="宋体" w:cs="宋体"/>
          <w:sz w:val="24"/>
          <w:szCs w:val="24"/>
        </w:rPr>
        <w:t>倾向于直接就业，受雇全职工作的</w:t>
      </w:r>
      <w:r>
        <w:rPr>
          <w:rFonts w:hint="eastAsia" w:ascii="宋体" w:hAnsi="宋体" w:eastAsia="宋体" w:cs="宋体"/>
          <w:sz w:val="24"/>
          <w:szCs w:val="24"/>
          <w:lang w:val="en-US" w:eastAsia="zh-CN"/>
        </w:rPr>
        <w:t>占比为79.6%。</w:t>
      </w:r>
      <w:r>
        <w:rPr>
          <w:rFonts w:hint="eastAsia" w:ascii="宋体" w:hAnsi="宋体" w:eastAsia="宋体" w:cs="宋体"/>
          <w:sz w:val="24"/>
          <w:szCs w:val="24"/>
        </w:rPr>
        <w:t>从</w:t>
      </w:r>
      <w:r>
        <w:rPr>
          <w:rFonts w:hint="eastAsia" w:ascii="宋体" w:hAnsi="宋体" w:eastAsia="宋体" w:cs="宋体"/>
          <w:sz w:val="24"/>
          <w:szCs w:val="24"/>
          <w:lang w:val="en-US" w:eastAsia="zh-CN"/>
        </w:rPr>
        <w:t>今年参加升学考试的情况</w:t>
      </w:r>
      <w:r>
        <w:rPr>
          <w:rFonts w:hint="eastAsia" w:ascii="宋体" w:hAnsi="宋体" w:eastAsia="宋体" w:cs="宋体"/>
          <w:sz w:val="24"/>
          <w:szCs w:val="24"/>
        </w:rPr>
        <w:t>来看，毕业生</w:t>
      </w:r>
      <w:r>
        <w:rPr>
          <w:rFonts w:hint="eastAsia" w:ascii="宋体" w:hAnsi="宋体" w:eastAsia="宋体" w:cs="宋体"/>
          <w:sz w:val="24"/>
          <w:szCs w:val="24"/>
          <w:lang w:val="en-US" w:eastAsia="zh-CN"/>
        </w:rPr>
        <w:t>虽有较强的</w:t>
      </w:r>
      <w:r>
        <w:rPr>
          <w:rFonts w:hint="eastAsia" w:ascii="宋体" w:hAnsi="宋体" w:eastAsia="宋体" w:cs="宋体"/>
          <w:sz w:val="24"/>
          <w:szCs w:val="24"/>
        </w:rPr>
        <w:t>升学意愿，</w:t>
      </w:r>
      <w:r>
        <w:rPr>
          <w:rFonts w:hint="eastAsia" w:ascii="宋体" w:hAnsi="宋体" w:eastAsia="宋体" w:cs="宋体"/>
          <w:sz w:val="24"/>
          <w:szCs w:val="24"/>
          <w:lang w:val="en-US" w:eastAsia="zh-CN"/>
        </w:rPr>
        <w:t>但整体升学率较低，仅为12.5%。</w:t>
      </w:r>
      <w:r>
        <w:rPr>
          <w:rFonts w:hint="eastAsia" w:ascii="宋体" w:hAnsi="宋体" w:eastAsia="宋体" w:cs="宋体"/>
          <w:sz w:val="24"/>
          <w:szCs w:val="24"/>
        </w:rPr>
        <w:t>从</w:t>
      </w:r>
      <w:r>
        <w:rPr>
          <w:rFonts w:hint="eastAsia" w:ascii="宋体" w:hAnsi="宋体" w:eastAsia="宋体" w:cs="宋体"/>
          <w:sz w:val="24"/>
          <w:szCs w:val="24"/>
          <w:lang w:val="en-US" w:eastAsia="zh-CN"/>
        </w:rPr>
        <w:t>就业方向</w:t>
      </w:r>
      <w:r>
        <w:rPr>
          <w:rFonts w:hint="eastAsia" w:ascii="宋体" w:hAnsi="宋体" w:eastAsia="宋体" w:cs="宋体"/>
          <w:sz w:val="24"/>
          <w:szCs w:val="24"/>
        </w:rPr>
        <w:t>来看，部分毕业生选择</w:t>
      </w:r>
      <w:r>
        <w:rPr>
          <w:rFonts w:hint="eastAsia" w:ascii="宋体" w:hAnsi="宋体" w:eastAsia="宋体" w:cs="宋体"/>
          <w:sz w:val="24"/>
          <w:szCs w:val="24"/>
          <w:lang w:val="en-US" w:eastAsia="zh-CN"/>
        </w:rPr>
        <w:t>与</w:t>
      </w:r>
      <w:r>
        <w:rPr>
          <w:rFonts w:hint="eastAsia" w:ascii="宋体" w:hAnsi="宋体" w:eastAsia="宋体" w:cs="宋体"/>
          <w:sz w:val="24"/>
          <w:szCs w:val="24"/>
        </w:rPr>
        <w:t>专业无关工作主要</w:t>
      </w:r>
      <w:r>
        <w:rPr>
          <w:rFonts w:hint="eastAsia" w:ascii="宋体" w:hAnsi="宋体" w:eastAsia="宋体" w:cs="宋体"/>
          <w:sz w:val="24"/>
          <w:szCs w:val="24"/>
          <w:lang w:val="en-US" w:eastAsia="zh-CN"/>
        </w:rPr>
        <w:t>出于“</w:t>
      </w:r>
      <w:r>
        <w:rPr>
          <w:rFonts w:hint="eastAsia" w:ascii="宋体" w:hAnsi="宋体" w:eastAsia="宋体" w:cs="宋体"/>
          <w:sz w:val="24"/>
          <w:szCs w:val="24"/>
        </w:rPr>
        <w:t>先就业再择业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的考虑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最终达到自身职业期待</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（二）教学培养过程反馈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本专业20</w:t>
      </w:r>
      <w:r>
        <w:rPr>
          <w:rFonts w:hint="eastAsia" w:ascii="宋体" w:hAnsi="宋体" w:eastAsia="宋体" w:cs="宋体"/>
          <w:sz w:val="24"/>
          <w:szCs w:val="24"/>
          <w:lang w:val="en-US" w:eastAsia="zh-CN"/>
        </w:rPr>
        <w:t>20</w:t>
      </w:r>
      <w:r>
        <w:rPr>
          <w:rFonts w:hint="eastAsia" w:ascii="宋体" w:hAnsi="宋体" w:eastAsia="宋体" w:cs="宋体"/>
          <w:sz w:val="24"/>
          <w:szCs w:val="24"/>
        </w:rPr>
        <w:t>届学生教学建设效果评价达到了96%，该专业毕业生对教学的满意度</w:t>
      </w:r>
      <w:r>
        <w:rPr>
          <w:rFonts w:hint="eastAsia" w:ascii="宋体" w:hAnsi="宋体" w:eastAsia="宋体" w:cs="宋体"/>
          <w:sz w:val="24"/>
          <w:szCs w:val="24"/>
          <w:lang w:val="en-US" w:eastAsia="zh-CN"/>
        </w:rPr>
        <w:t>为</w:t>
      </w:r>
      <w:r>
        <w:rPr>
          <w:rFonts w:hint="eastAsia" w:ascii="宋体" w:hAnsi="宋体" w:eastAsia="宋体" w:cs="宋体"/>
          <w:sz w:val="24"/>
          <w:szCs w:val="24"/>
        </w:rPr>
        <w:t>9</w:t>
      </w: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从</w:t>
      </w:r>
      <w:r>
        <w:rPr>
          <w:rFonts w:hint="eastAsia" w:ascii="宋体" w:hAnsi="宋体" w:eastAsia="宋体" w:cs="宋体"/>
          <w:sz w:val="24"/>
          <w:szCs w:val="24"/>
        </w:rPr>
        <w:t>省内</w:t>
      </w:r>
      <w:r>
        <w:rPr>
          <w:rFonts w:hint="eastAsia" w:ascii="宋体" w:hAnsi="宋体" w:eastAsia="宋体" w:cs="宋体"/>
          <w:sz w:val="24"/>
          <w:szCs w:val="24"/>
          <w:lang w:eastAsia="zh-CN"/>
        </w:rPr>
        <w:t>、</w:t>
      </w:r>
      <w:r>
        <w:rPr>
          <w:rFonts w:hint="eastAsia" w:ascii="宋体" w:hAnsi="宋体" w:eastAsia="宋体" w:cs="宋体"/>
          <w:sz w:val="24"/>
          <w:szCs w:val="24"/>
        </w:rPr>
        <w:t>外生源毕业生的核心课程培养效果</w:t>
      </w:r>
      <w:r>
        <w:rPr>
          <w:rFonts w:hint="eastAsia" w:ascii="宋体" w:hAnsi="宋体" w:eastAsia="宋体" w:cs="宋体"/>
          <w:sz w:val="24"/>
          <w:szCs w:val="24"/>
          <w:lang w:val="en-US" w:eastAsia="zh-CN"/>
        </w:rPr>
        <w:t>来看：</w:t>
      </w:r>
      <w:r>
        <w:rPr>
          <w:rFonts w:hint="eastAsia" w:ascii="宋体" w:hAnsi="宋体" w:eastAsia="宋体" w:cs="宋体"/>
          <w:sz w:val="24"/>
          <w:szCs w:val="24"/>
        </w:rPr>
        <w:t>省内生源毕业生达到87%，省外生源达到91%。</w:t>
      </w:r>
      <w:r>
        <w:rPr>
          <w:rFonts w:hint="eastAsia" w:ascii="宋体" w:hAnsi="宋体" w:eastAsia="宋体" w:cs="宋体"/>
          <w:sz w:val="24"/>
          <w:szCs w:val="24"/>
          <w:lang w:val="en-US" w:eastAsia="zh-CN"/>
        </w:rPr>
        <w:t>专业</w:t>
      </w:r>
      <w:r>
        <w:rPr>
          <w:rFonts w:hint="eastAsia" w:ascii="宋体" w:hAnsi="宋体" w:eastAsia="宋体" w:cs="宋体"/>
          <w:sz w:val="24"/>
          <w:szCs w:val="24"/>
        </w:rPr>
        <w:t>教学</w:t>
      </w:r>
      <w:r>
        <w:rPr>
          <w:rFonts w:hint="eastAsia" w:ascii="宋体" w:hAnsi="宋体" w:eastAsia="宋体" w:cs="宋体"/>
          <w:sz w:val="24"/>
          <w:szCs w:val="24"/>
          <w:lang w:val="en-US" w:eastAsia="zh-CN"/>
        </w:rPr>
        <w:t>中存在的问题</w:t>
      </w:r>
      <w:r>
        <w:rPr>
          <w:rFonts w:hint="eastAsia" w:ascii="宋体" w:hAnsi="宋体" w:eastAsia="宋体" w:cs="宋体"/>
          <w:sz w:val="24"/>
          <w:szCs w:val="24"/>
        </w:rPr>
        <w:t>如下：实习和实践环节</w:t>
      </w:r>
      <w:r>
        <w:rPr>
          <w:rFonts w:hint="eastAsia" w:ascii="宋体" w:hAnsi="宋体" w:eastAsia="宋体" w:cs="宋体"/>
          <w:sz w:val="24"/>
          <w:szCs w:val="24"/>
          <w:lang w:val="en-US" w:eastAsia="zh-CN"/>
        </w:rPr>
        <w:t>占比不足</w:t>
      </w:r>
      <w:r>
        <w:rPr>
          <w:rFonts w:hint="eastAsia" w:ascii="宋体" w:hAnsi="宋体" w:eastAsia="宋体" w:cs="宋体"/>
          <w:sz w:val="24"/>
          <w:szCs w:val="24"/>
        </w:rPr>
        <w:t>60%，无法调动学生学习兴趣占25%，课堂上学生参与不够占15%，课堂内容不实用占19%，课程考核方式不合理占19%。师生互动较少。该专业毕业生获得职业资格证书约占80%，与</w:t>
      </w:r>
      <w:r>
        <w:rPr>
          <w:rFonts w:hint="eastAsia" w:ascii="宋体" w:hAnsi="宋体" w:eastAsia="宋体" w:cs="宋体"/>
          <w:sz w:val="24"/>
          <w:szCs w:val="24"/>
          <w:lang w:val="en-US" w:eastAsia="zh-CN"/>
        </w:rPr>
        <w:t>全校学生平均资格证书获得率</w:t>
      </w:r>
      <w:r>
        <w:rPr>
          <w:rFonts w:hint="eastAsia" w:ascii="宋体" w:hAnsi="宋体" w:eastAsia="宋体" w:cs="宋体"/>
          <w:sz w:val="24"/>
          <w:szCs w:val="24"/>
        </w:rPr>
        <w:t>相当。</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（三）主要指标趋势分析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从</w:t>
      </w:r>
      <w:r>
        <w:rPr>
          <w:rFonts w:hint="eastAsia" w:ascii="宋体" w:hAnsi="宋体" w:eastAsia="宋体" w:cs="宋体"/>
          <w:sz w:val="24"/>
          <w:szCs w:val="24"/>
        </w:rPr>
        <w:t>就业率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就业方向</w:t>
      </w:r>
      <w:r>
        <w:rPr>
          <w:rFonts w:hint="eastAsia" w:ascii="宋体" w:hAnsi="宋体" w:eastAsia="宋体" w:cs="宋体"/>
          <w:sz w:val="24"/>
          <w:szCs w:val="24"/>
        </w:rPr>
        <w:t>与专业相关度</w:t>
      </w:r>
      <w:r>
        <w:rPr>
          <w:rFonts w:hint="eastAsia" w:ascii="宋体" w:hAnsi="宋体" w:eastAsia="宋体" w:cs="宋体"/>
          <w:sz w:val="24"/>
          <w:szCs w:val="24"/>
          <w:lang w:eastAsia="zh-CN"/>
        </w:rPr>
        <w:t>、</w:t>
      </w:r>
      <w:r>
        <w:rPr>
          <w:rFonts w:hint="eastAsia" w:ascii="宋体" w:hAnsi="宋体" w:eastAsia="宋体" w:cs="宋体"/>
          <w:sz w:val="24"/>
          <w:szCs w:val="24"/>
        </w:rPr>
        <w:t>就业现状满意度</w:t>
      </w:r>
      <w:r>
        <w:rPr>
          <w:rFonts w:hint="eastAsia" w:ascii="宋体" w:hAnsi="宋体" w:eastAsia="宋体" w:cs="宋体"/>
          <w:sz w:val="24"/>
          <w:szCs w:val="24"/>
          <w:lang w:eastAsia="zh-CN"/>
        </w:rPr>
        <w:t>、</w:t>
      </w:r>
      <w:r>
        <w:rPr>
          <w:rFonts w:hint="eastAsia" w:ascii="宋体" w:hAnsi="宋体" w:eastAsia="宋体" w:cs="宋体"/>
          <w:sz w:val="24"/>
          <w:szCs w:val="24"/>
        </w:rPr>
        <w:t>离职率</w:t>
      </w:r>
      <w:r>
        <w:rPr>
          <w:rFonts w:hint="eastAsia" w:ascii="宋体" w:hAnsi="宋体" w:eastAsia="宋体" w:cs="宋体"/>
          <w:sz w:val="24"/>
          <w:szCs w:val="24"/>
          <w:lang w:eastAsia="zh-CN"/>
        </w:rPr>
        <w:t>、</w:t>
      </w:r>
      <w:r>
        <w:rPr>
          <w:rFonts w:hint="eastAsia" w:ascii="宋体" w:hAnsi="宋体" w:eastAsia="宋体" w:cs="宋体"/>
          <w:sz w:val="24"/>
          <w:szCs w:val="24"/>
        </w:rPr>
        <w:t>教学满意度</w:t>
      </w:r>
      <w:r>
        <w:rPr>
          <w:rFonts w:hint="eastAsia" w:ascii="宋体" w:hAnsi="宋体" w:eastAsia="宋体" w:cs="宋体"/>
          <w:sz w:val="24"/>
          <w:szCs w:val="24"/>
          <w:lang w:val="en-US" w:eastAsia="zh-CN"/>
        </w:rPr>
        <w:t>等</w:t>
      </w:r>
      <w:r>
        <w:rPr>
          <w:rFonts w:hint="eastAsia" w:ascii="宋体" w:hAnsi="宋体" w:eastAsia="宋体" w:cs="宋体"/>
          <w:sz w:val="24"/>
          <w:szCs w:val="24"/>
        </w:rPr>
        <w:t>指标分析得出</w:t>
      </w:r>
      <w:r>
        <w:rPr>
          <w:rFonts w:hint="eastAsia" w:ascii="宋体" w:hAnsi="宋体" w:eastAsia="宋体" w:cs="宋体"/>
          <w:sz w:val="24"/>
          <w:szCs w:val="24"/>
          <w:lang w:eastAsia="zh-CN"/>
        </w:rPr>
        <w:t>：本</w:t>
      </w:r>
      <w:r>
        <w:rPr>
          <w:rFonts w:hint="eastAsia" w:ascii="宋体" w:hAnsi="宋体" w:eastAsia="宋体" w:cs="宋体"/>
          <w:sz w:val="24"/>
          <w:szCs w:val="24"/>
        </w:rPr>
        <w:t>专业</w:t>
      </w:r>
      <w:r>
        <w:rPr>
          <w:rFonts w:hint="eastAsia" w:ascii="宋体" w:hAnsi="宋体" w:eastAsia="宋体" w:cs="宋体"/>
          <w:sz w:val="24"/>
          <w:szCs w:val="24"/>
          <w:lang w:val="en-US" w:eastAsia="zh-CN"/>
        </w:rPr>
        <w:t>毕业生就业方向在一定程度上会</w:t>
      </w:r>
      <w:r>
        <w:rPr>
          <w:rFonts w:hint="eastAsia" w:ascii="宋体" w:hAnsi="宋体" w:eastAsia="宋体" w:cs="宋体"/>
          <w:sz w:val="24"/>
          <w:szCs w:val="24"/>
        </w:rPr>
        <w:t>偏移专业方向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部分</w:t>
      </w:r>
      <w:r>
        <w:rPr>
          <w:rFonts w:hint="eastAsia" w:ascii="宋体" w:hAnsi="宋体" w:eastAsia="宋体" w:cs="宋体"/>
          <w:sz w:val="24"/>
          <w:szCs w:val="24"/>
        </w:rPr>
        <w:t>同学通过专转本考试</w:t>
      </w:r>
      <w:r>
        <w:rPr>
          <w:rFonts w:hint="eastAsia" w:ascii="宋体" w:hAnsi="宋体" w:eastAsia="宋体" w:cs="宋体"/>
          <w:sz w:val="24"/>
          <w:szCs w:val="24"/>
          <w:lang w:val="en-US" w:eastAsia="zh-CN"/>
        </w:rPr>
        <w:t>选择</w:t>
      </w:r>
      <w:r>
        <w:rPr>
          <w:rFonts w:hint="eastAsia" w:ascii="宋体" w:hAnsi="宋体" w:eastAsia="宋体" w:cs="宋体"/>
          <w:sz w:val="24"/>
          <w:szCs w:val="24"/>
        </w:rPr>
        <w:t>继续深造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部分学生</w:t>
      </w:r>
      <w:r>
        <w:rPr>
          <w:rFonts w:hint="eastAsia" w:ascii="宋体" w:hAnsi="宋体" w:eastAsia="宋体" w:cs="宋体"/>
          <w:sz w:val="24"/>
          <w:szCs w:val="24"/>
        </w:rPr>
        <w:t>虽已就业，</w:t>
      </w:r>
      <w:r>
        <w:rPr>
          <w:rFonts w:hint="eastAsia" w:ascii="宋体" w:hAnsi="宋体" w:eastAsia="宋体" w:cs="宋体"/>
          <w:sz w:val="24"/>
          <w:szCs w:val="24"/>
          <w:lang w:val="en-US" w:eastAsia="zh-CN"/>
        </w:rPr>
        <w:t>后期</w:t>
      </w:r>
      <w:r>
        <w:rPr>
          <w:rFonts w:hint="eastAsia" w:ascii="宋体" w:hAnsi="宋体" w:eastAsia="宋体" w:cs="宋体"/>
          <w:sz w:val="24"/>
          <w:szCs w:val="24"/>
        </w:rPr>
        <w:t>通过考取小学教师资格证，</w:t>
      </w:r>
      <w:r>
        <w:rPr>
          <w:rFonts w:hint="eastAsia" w:ascii="宋体" w:hAnsi="宋体" w:eastAsia="宋体" w:cs="宋体"/>
          <w:sz w:val="24"/>
          <w:szCs w:val="24"/>
          <w:lang w:val="en-US" w:eastAsia="zh-CN"/>
        </w:rPr>
        <w:t>参加</w:t>
      </w:r>
      <w:r>
        <w:rPr>
          <w:rFonts w:hint="eastAsia" w:ascii="宋体" w:hAnsi="宋体" w:eastAsia="宋体" w:cs="宋体"/>
          <w:sz w:val="24"/>
          <w:szCs w:val="24"/>
        </w:rPr>
        <w:t>当地教育局教师招聘，最终成为当地</w:t>
      </w:r>
      <w:r>
        <w:rPr>
          <w:rFonts w:hint="eastAsia" w:ascii="宋体" w:hAnsi="宋体" w:eastAsia="宋体" w:cs="宋体"/>
          <w:sz w:val="24"/>
          <w:szCs w:val="24"/>
          <w:lang w:val="en-US" w:eastAsia="zh-CN"/>
        </w:rPr>
        <w:t>体制内</w:t>
      </w:r>
      <w:r>
        <w:rPr>
          <w:rFonts w:hint="eastAsia" w:ascii="宋体" w:hAnsi="宋体" w:eastAsia="宋体" w:cs="宋体"/>
          <w:sz w:val="24"/>
          <w:szCs w:val="24"/>
        </w:rPr>
        <w:t>小学教师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另外，有</w:t>
      </w:r>
      <w:r>
        <w:rPr>
          <w:rFonts w:hint="eastAsia" w:ascii="宋体" w:hAnsi="宋体" w:eastAsia="宋体" w:cs="宋体"/>
          <w:sz w:val="24"/>
          <w:szCs w:val="24"/>
        </w:rPr>
        <w:t>部分同学选择从事本专业既定目标岗位，</w:t>
      </w:r>
      <w:r>
        <w:rPr>
          <w:rFonts w:hint="eastAsia" w:ascii="宋体" w:hAnsi="宋体" w:eastAsia="宋体" w:cs="宋体"/>
          <w:sz w:val="24"/>
          <w:szCs w:val="24"/>
          <w:lang w:val="en-US" w:eastAsia="zh-CN"/>
        </w:rPr>
        <w:t>但</w:t>
      </w:r>
      <w:r>
        <w:rPr>
          <w:rFonts w:hint="eastAsia" w:ascii="宋体" w:hAnsi="宋体" w:eastAsia="宋体" w:cs="宋体"/>
          <w:sz w:val="24"/>
          <w:szCs w:val="24"/>
        </w:rPr>
        <w:t>绝大多数是进入了小型私营企业，真正进入政府部门或大型国企从事专业工作的微乎其微。</w:t>
      </w:r>
      <w:r>
        <w:rPr>
          <w:rFonts w:hint="eastAsia" w:ascii="宋体" w:hAnsi="宋体" w:eastAsia="宋体" w:cs="宋体"/>
          <w:sz w:val="24"/>
          <w:szCs w:val="24"/>
          <w:lang w:val="en-US" w:eastAsia="zh-CN"/>
        </w:rPr>
        <w:t>以上现象</w:t>
      </w:r>
      <w:r>
        <w:rPr>
          <w:rFonts w:hint="eastAsia" w:ascii="宋体" w:hAnsi="宋体" w:eastAsia="宋体" w:cs="宋体"/>
          <w:sz w:val="24"/>
          <w:szCs w:val="24"/>
        </w:rPr>
        <w:t>充分说明要想提升</w:t>
      </w:r>
      <w:r>
        <w:rPr>
          <w:rFonts w:hint="eastAsia" w:ascii="宋体" w:hAnsi="宋体" w:eastAsia="宋体" w:cs="宋体"/>
          <w:sz w:val="24"/>
          <w:szCs w:val="24"/>
          <w:lang w:val="en-US" w:eastAsia="zh-CN"/>
        </w:rPr>
        <w:t>现代</w:t>
      </w:r>
      <w:r>
        <w:rPr>
          <w:rFonts w:hint="eastAsia" w:ascii="宋体" w:hAnsi="宋体" w:eastAsia="宋体" w:cs="宋体"/>
          <w:sz w:val="24"/>
          <w:szCs w:val="24"/>
        </w:rPr>
        <w:t>文秘专业毕业生就业高度和广度，真正与市场接轨，还需要不断摸索，任重道远。</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leftChars="0"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播音与主持专业</w:t>
      </w:r>
    </w:p>
    <w:p>
      <w:pPr>
        <w:keepNext w:val="0"/>
        <w:keepLines w:val="0"/>
        <w:pageBreakBefore w:val="0"/>
        <w:widowControl w:val="0"/>
        <w:numPr>
          <w:numId w:val="0"/>
        </w:numPr>
        <w:kinsoku/>
        <w:wordWrap/>
        <w:overflowPunct/>
        <w:topLinePunct w:val="0"/>
        <w:autoSpaceDE/>
        <w:autoSpaceDN/>
        <w:bidi w:val="0"/>
        <w:adjustRightInd/>
        <w:snapToGrid w:val="0"/>
        <w:spacing w:line="360" w:lineRule="auto"/>
        <w:ind w:left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（一）就业质量分析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就业率反应的是高校毕业生的供给，市场需求、毕业生个人选择三者之间的匹配程度，也是培养的达成度在供求数量上的反映。本专业2019—2021届毕业生的就业率保持在九成左右，2021届毕业生就业率为96.43%，而截至目前为止，本专业2022届毕业生已实现100%就业。从毕业具体去向来看，2022届毕业生中，升学的比例为23.07%，较上届升学占比（29.2%）有所下降，由此反映了本专业毕业生更倾向于直接就业。学生就业现状满意度有大幅提升，从2021届的83%提升到了当前的100%。虽然本专业毕业生对当前工作都比较满意，但是仍有12.5%的毕业生未找到与自身专业相符的岗位，因此也就有部分毕业生选择离职后寻求与自身专业相关的岗位的想法。</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（二）教学培养过程反馈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1.教学建设效果评价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本专业现有教师教学效果评价体系中，关于教师教学工作的评价内容主要包括学生学业成绩、课堂教学及教学工作规范。其中，教学工作规范的评价内容包括教师的教学计划检查及教案检查。对教师课堂教学的评价内容则包括：教学工作逐步改进和规范、教学过程能够体现课程标准中的教学目标、教学过程能体现以学生为教学中心注重职业化技能的培养和实践锻炼，教学工作比较客观的体现了当前工作案例、学生学习兴趣和主动性被调动、学生知识体系达到课程标准目标要求、学生技能已经达到课程标准目标要求、学生品行也可以达到课程标准目标要求、学生通过专业主持人大赛来展示学习成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2.师生互动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注意教的时机，激发互动。注意教的艺术，乐于互动。注意教的对象，全体互动。针对不同的学生，进行分类引导，真正实现面向全体互动。尽量采用小班教学，通过小班化教学，让学生更系统的掌握专业知识。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3.毕业生获得职业资格证书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本专业毕业生获得普通话一级乙等证书有18人，获得二级甲等证书10人。</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（三）主要指标趋势分析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就业方向与专业相关度反映了本专业培养的毕业生的就业情况，也是高校品牌、专业价值、毕业生能力的综合体现。本专业2022届毕业生的工作与专业相关度为80%，相较于之前有较大提升。就业现状满意度及离职率反映了本专业的价值，是培养成功率的体现，就业现状满意度提升到了100%。但是有离职意愿的毕业生比例较之前有所上升，最根本的原因还是想找到与自身专业相符合的岗位。对此，需要对于学生的培养目标更加明确、进一步提升毕业生质量。通过加大招聘信息、提供求职技能辅导、直接介绍工作岗位等方式，帮助毕业生找到更适合自身的岗位，为学生就业保驾护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color w:val="333333"/>
          <w:spacing w:val="0"/>
          <w:sz w:val="24"/>
          <w:szCs w:val="24"/>
          <w:shd w:val="clear" w:color="auto" w:fill="FFFFFF"/>
          <w:lang w:val="en-US" w:eastAsia="zh-CN"/>
        </w:rPr>
      </w:pPr>
    </w:p>
    <w:p>
      <w:pPr>
        <w:ind w:firstLine="1968" w:firstLineChars="700"/>
        <w:rPr>
          <w:rFonts w:hint="eastAsia" w:ascii="宋体" w:hAnsi="宋体" w:eastAsia="宋体" w:cs="Times New Roman"/>
          <w:color w:val="000000" w:themeColor="text1"/>
          <w:spacing w:val="-1"/>
          <w:sz w:val="24"/>
          <w:szCs w:val="24"/>
          <w:shd w:val="clear" w:color="auto" w:fill="FFFFFF"/>
          <w14:textFill>
            <w14:solidFill>
              <w14:schemeClr w14:val="tx1"/>
            </w14:solidFill>
          </w14:textFill>
        </w:rPr>
      </w:pPr>
      <w:r>
        <w:rPr>
          <w:rFonts w:hint="eastAsia" w:asciiTheme="minorEastAsia" w:hAnsiTheme="minorEastAsia" w:eastAsiaTheme="minorEastAsia" w:cstheme="minorEastAsia"/>
          <w:b/>
          <w:bCs/>
          <w:kern w:val="2"/>
          <w:sz w:val="28"/>
          <w:szCs w:val="28"/>
          <w:lang w:val="en-US" w:eastAsia="zh-CN" w:bidi="ar-SA"/>
        </w:rPr>
        <w:t>美术学院毕业生培养质量年度整改报告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通过麦可思评价数据能够反映一些</w:t>
      </w:r>
      <w:r>
        <w:rPr>
          <w:rFonts w:hint="eastAsia" w:ascii="宋体" w:hAnsi="宋体" w:eastAsia="宋体" w:cs="宋体"/>
          <w:sz w:val="24"/>
          <w:szCs w:val="24"/>
          <w:lang w:eastAsia="zh-CN"/>
        </w:rPr>
        <w:t>实际的</w:t>
      </w:r>
      <w:r>
        <w:rPr>
          <w:rFonts w:hint="eastAsia" w:ascii="宋体" w:hAnsi="宋体" w:eastAsia="宋体" w:cs="宋体"/>
          <w:sz w:val="24"/>
          <w:szCs w:val="24"/>
        </w:rPr>
        <w:t>情况，有利于教学和培养单位调整相关工作，更好地进行人才培养。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结合麦可思毕业生培养质量评价报告（20</w:t>
      </w:r>
      <w:r>
        <w:rPr>
          <w:rFonts w:hint="eastAsia" w:ascii="宋体" w:hAnsi="宋体" w:eastAsia="宋体" w:cs="宋体"/>
          <w:sz w:val="24"/>
          <w:szCs w:val="24"/>
          <w:lang w:val="en-US" w:eastAsia="zh-CN"/>
        </w:rPr>
        <w:t>21</w:t>
      </w:r>
      <w:r>
        <w:rPr>
          <w:rFonts w:hint="eastAsia" w:ascii="宋体" w:hAnsi="宋体" w:eastAsia="宋体" w:cs="宋体"/>
          <w:sz w:val="24"/>
          <w:szCs w:val="24"/>
        </w:rPr>
        <w:t>届）和麦可思毕业生培养质量中期评价报告（201</w:t>
      </w:r>
      <w:r>
        <w:rPr>
          <w:rFonts w:hint="eastAsia" w:ascii="宋体" w:hAnsi="宋体" w:eastAsia="宋体" w:cs="宋体"/>
          <w:sz w:val="24"/>
          <w:szCs w:val="24"/>
          <w:lang w:val="en-US" w:eastAsia="zh-CN"/>
        </w:rPr>
        <w:t>8</w:t>
      </w:r>
      <w:r>
        <w:rPr>
          <w:rFonts w:hint="eastAsia" w:ascii="宋体" w:hAnsi="宋体" w:eastAsia="宋体" w:cs="宋体"/>
          <w:sz w:val="24"/>
          <w:szCs w:val="24"/>
        </w:rPr>
        <w:t>届）中体现的信息，我们首先进行了客观分析：总体上来看，比较20</w:t>
      </w:r>
      <w:r>
        <w:rPr>
          <w:rFonts w:hint="eastAsia" w:ascii="宋体" w:hAnsi="宋体" w:eastAsia="宋体" w:cs="宋体"/>
          <w:sz w:val="24"/>
          <w:szCs w:val="24"/>
          <w:lang w:val="en-US" w:eastAsia="zh-CN"/>
        </w:rPr>
        <w:t>21</w:t>
      </w:r>
      <w:r>
        <w:rPr>
          <w:rFonts w:hint="eastAsia" w:ascii="宋体" w:hAnsi="宋体" w:eastAsia="宋体" w:cs="宋体"/>
          <w:sz w:val="24"/>
          <w:szCs w:val="24"/>
        </w:rPr>
        <w:t>届培养质量评价报告和201</w:t>
      </w:r>
      <w:r>
        <w:rPr>
          <w:rFonts w:hint="eastAsia" w:ascii="宋体" w:hAnsi="宋体" w:eastAsia="宋体" w:cs="宋体"/>
          <w:sz w:val="24"/>
          <w:szCs w:val="24"/>
          <w:lang w:val="en-US" w:eastAsia="zh-CN"/>
        </w:rPr>
        <w:t>8</w:t>
      </w:r>
      <w:r>
        <w:rPr>
          <w:rFonts w:hint="eastAsia" w:ascii="宋体" w:hAnsi="宋体" w:eastAsia="宋体" w:cs="宋体"/>
          <w:sz w:val="24"/>
          <w:szCs w:val="24"/>
        </w:rPr>
        <w:t>届毕业生培养质量中期评价报告，可以明显看出美术学院近几年在人才培养质量和教学培养过程方面做出的努力和取得的进步。</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针对反映出来的问题，学院</w:t>
      </w:r>
      <w:r>
        <w:rPr>
          <w:rFonts w:hint="eastAsia" w:ascii="宋体" w:hAnsi="宋体" w:eastAsia="宋体" w:cs="宋体"/>
          <w:sz w:val="24"/>
          <w:szCs w:val="24"/>
        </w:rPr>
        <w:t>通过具体分析和讨论，</w:t>
      </w:r>
      <w:r>
        <w:rPr>
          <w:rFonts w:hint="eastAsia" w:ascii="宋体" w:hAnsi="宋体" w:eastAsia="宋体" w:cs="宋体"/>
          <w:sz w:val="24"/>
          <w:szCs w:val="24"/>
          <w:lang w:eastAsia="zh-CN"/>
        </w:rPr>
        <w:t>制定了进一步的工作计划，并</w:t>
      </w:r>
      <w:r>
        <w:rPr>
          <w:rFonts w:hint="eastAsia" w:ascii="宋体" w:hAnsi="宋体" w:eastAsia="宋体" w:cs="宋体"/>
          <w:sz w:val="24"/>
          <w:szCs w:val="24"/>
        </w:rPr>
        <w:t>从以下几个方面进行</w:t>
      </w:r>
      <w:r>
        <w:rPr>
          <w:rFonts w:hint="eastAsia" w:ascii="宋体" w:hAnsi="宋体" w:eastAsia="宋体" w:cs="宋体"/>
          <w:sz w:val="24"/>
          <w:szCs w:val="24"/>
          <w:lang w:eastAsia="zh-CN"/>
        </w:rPr>
        <w:t>了</w:t>
      </w:r>
      <w:r>
        <w:rPr>
          <w:rFonts w:hint="eastAsia" w:ascii="宋体" w:hAnsi="宋体" w:eastAsia="宋体" w:cs="宋体"/>
          <w:sz w:val="24"/>
          <w:szCs w:val="24"/>
        </w:rPr>
        <w:t>整改：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一、</w:t>
      </w:r>
      <w:r>
        <w:rPr>
          <w:rFonts w:hint="eastAsia" w:ascii="宋体" w:hAnsi="宋体" w:eastAsia="宋体" w:cs="宋体"/>
          <w:sz w:val="24"/>
          <w:szCs w:val="24"/>
        </w:rPr>
        <w:t>从学校和学院的长远发展出发，学院进行</w:t>
      </w:r>
      <w:r>
        <w:rPr>
          <w:rFonts w:hint="eastAsia" w:ascii="宋体" w:hAnsi="宋体" w:eastAsia="宋体" w:cs="宋体"/>
          <w:sz w:val="24"/>
          <w:szCs w:val="24"/>
          <w:lang w:eastAsia="zh-CN"/>
        </w:rPr>
        <w:t>了</w:t>
      </w:r>
      <w:r>
        <w:rPr>
          <w:rFonts w:hint="eastAsia" w:ascii="宋体" w:hAnsi="宋体" w:eastAsia="宋体" w:cs="宋体"/>
          <w:sz w:val="24"/>
          <w:szCs w:val="24"/>
        </w:rPr>
        <w:t>有针对性的市场调研，在美术人才需求大的地区投入</w:t>
      </w:r>
      <w:r>
        <w:rPr>
          <w:rFonts w:hint="eastAsia" w:ascii="宋体" w:hAnsi="宋体" w:eastAsia="宋体" w:cs="宋体"/>
          <w:sz w:val="24"/>
          <w:szCs w:val="24"/>
          <w:lang w:eastAsia="zh-CN"/>
        </w:rPr>
        <w:t>了</w:t>
      </w:r>
      <w:r>
        <w:rPr>
          <w:rFonts w:hint="eastAsia" w:ascii="宋体" w:hAnsi="宋体" w:eastAsia="宋体" w:cs="宋体"/>
          <w:sz w:val="24"/>
          <w:szCs w:val="24"/>
        </w:rPr>
        <w:t>更多的招生计划，就业率</w:t>
      </w:r>
      <w:r>
        <w:rPr>
          <w:rFonts w:hint="eastAsia" w:ascii="宋体" w:hAnsi="宋体" w:eastAsia="宋体" w:cs="宋体"/>
          <w:sz w:val="24"/>
          <w:szCs w:val="24"/>
          <w:lang w:eastAsia="zh-CN"/>
        </w:rPr>
        <w:t>得到了</w:t>
      </w:r>
      <w:r>
        <w:rPr>
          <w:rFonts w:hint="eastAsia" w:ascii="宋体" w:hAnsi="宋体" w:eastAsia="宋体" w:cs="宋体"/>
          <w:sz w:val="24"/>
          <w:szCs w:val="24"/>
        </w:rPr>
        <w:t>保障。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二、</w:t>
      </w:r>
      <w:r>
        <w:rPr>
          <w:rFonts w:hint="eastAsia" w:ascii="宋体" w:hAnsi="宋体" w:eastAsia="宋体" w:cs="宋体"/>
          <w:sz w:val="24"/>
          <w:szCs w:val="24"/>
        </w:rPr>
        <w:t>根据</w:t>
      </w:r>
      <w:r>
        <w:rPr>
          <w:rFonts w:hint="eastAsia" w:ascii="宋体" w:hAnsi="宋体" w:eastAsia="宋体" w:cs="宋体"/>
          <w:sz w:val="24"/>
          <w:szCs w:val="24"/>
          <w:lang w:eastAsia="zh-CN"/>
        </w:rPr>
        <w:t>毕业生培养目标</w:t>
      </w:r>
      <w:r>
        <w:rPr>
          <w:rFonts w:hint="eastAsia" w:ascii="宋体" w:hAnsi="宋体" w:eastAsia="宋体" w:cs="宋体"/>
          <w:sz w:val="24"/>
          <w:szCs w:val="24"/>
        </w:rPr>
        <w:t>具备的知识体系和具体</w:t>
      </w:r>
      <w:r>
        <w:rPr>
          <w:rFonts w:hint="eastAsia" w:ascii="宋体" w:hAnsi="宋体" w:eastAsia="宋体" w:cs="宋体"/>
          <w:sz w:val="24"/>
          <w:szCs w:val="24"/>
          <w:lang w:eastAsia="zh-CN"/>
        </w:rPr>
        <w:t>要求</w:t>
      </w:r>
      <w:r>
        <w:rPr>
          <w:rFonts w:hint="eastAsia" w:ascii="宋体" w:hAnsi="宋体" w:eastAsia="宋体" w:cs="宋体"/>
          <w:sz w:val="24"/>
          <w:szCs w:val="24"/>
        </w:rPr>
        <w:t>，对培养计划和课程设置进行</w:t>
      </w:r>
      <w:r>
        <w:rPr>
          <w:rFonts w:hint="eastAsia" w:ascii="宋体" w:hAnsi="宋体" w:eastAsia="宋体" w:cs="宋体"/>
          <w:sz w:val="24"/>
          <w:szCs w:val="24"/>
          <w:lang w:eastAsia="zh-CN"/>
        </w:rPr>
        <w:t>了</w:t>
      </w:r>
      <w:r>
        <w:rPr>
          <w:rFonts w:hint="eastAsia" w:ascii="宋体" w:hAnsi="宋体" w:eastAsia="宋体" w:cs="宋体"/>
          <w:sz w:val="24"/>
          <w:szCs w:val="24"/>
        </w:rPr>
        <w:t>针对性调整，</w:t>
      </w:r>
      <w:r>
        <w:rPr>
          <w:rFonts w:hint="eastAsia" w:ascii="宋体" w:hAnsi="宋体" w:eastAsia="宋体" w:cs="宋体"/>
          <w:sz w:val="24"/>
          <w:szCs w:val="24"/>
          <w:lang w:eastAsia="zh-CN"/>
        </w:rPr>
        <w:t>教学中</w:t>
      </w:r>
      <w:r>
        <w:rPr>
          <w:rFonts w:hint="eastAsia" w:ascii="宋体" w:hAnsi="宋体" w:eastAsia="宋体" w:cs="宋体"/>
          <w:sz w:val="24"/>
          <w:szCs w:val="24"/>
        </w:rPr>
        <w:t>使学生真正学到和掌握满足实际岗位需求的技能和本领。这个方面</w:t>
      </w:r>
      <w:r>
        <w:rPr>
          <w:rFonts w:hint="eastAsia" w:ascii="宋体" w:hAnsi="宋体" w:eastAsia="宋体" w:cs="宋体"/>
          <w:sz w:val="24"/>
          <w:szCs w:val="24"/>
          <w:lang w:eastAsia="zh-CN"/>
        </w:rPr>
        <w:t>要求</w:t>
      </w:r>
      <w:r>
        <w:rPr>
          <w:rFonts w:hint="eastAsia" w:ascii="宋体" w:hAnsi="宋体" w:eastAsia="宋体" w:cs="宋体"/>
          <w:sz w:val="24"/>
          <w:szCs w:val="24"/>
        </w:rPr>
        <w:t>务实，坚持普遍性的要求，严格</w:t>
      </w:r>
      <w:r>
        <w:rPr>
          <w:rFonts w:hint="eastAsia" w:ascii="宋体" w:hAnsi="宋体" w:eastAsia="宋体" w:cs="宋体"/>
          <w:sz w:val="24"/>
          <w:szCs w:val="24"/>
          <w:lang w:eastAsia="zh-CN"/>
        </w:rPr>
        <w:t>把控</w:t>
      </w:r>
      <w:r>
        <w:rPr>
          <w:rFonts w:hint="eastAsia" w:ascii="宋体" w:hAnsi="宋体" w:eastAsia="宋体" w:cs="宋体"/>
          <w:sz w:val="24"/>
          <w:szCs w:val="24"/>
        </w:rPr>
        <w:t>教学质量关；对相关职业资格证书提出建议性要求，并做好实际的工作。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重视实训环节，培养学生良好的专业</w:t>
      </w:r>
      <w:r>
        <w:rPr>
          <w:rFonts w:hint="eastAsia" w:ascii="宋体" w:hAnsi="宋体" w:eastAsia="宋体" w:cs="宋体"/>
          <w:sz w:val="24"/>
          <w:szCs w:val="24"/>
          <w:lang w:eastAsia="zh-CN"/>
        </w:rPr>
        <w:t>素养</w:t>
      </w:r>
      <w:r>
        <w:rPr>
          <w:rFonts w:hint="eastAsia" w:ascii="宋体" w:hAnsi="宋体" w:eastAsia="宋体" w:cs="宋体"/>
          <w:sz w:val="24"/>
          <w:szCs w:val="24"/>
        </w:rPr>
        <w:t>和职业技能。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四、</w:t>
      </w:r>
      <w:r>
        <w:rPr>
          <w:rFonts w:hint="eastAsia" w:ascii="宋体" w:hAnsi="宋体" w:eastAsia="宋体" w:cs="宋体"/>
          <w:sz w:val="24"/>
          <w:szCs w:val="24"/>
        </w:rPr>
        <w:t>做好必要的解释工作，使学生透彻地了解自己的专业面向和培养过程等，使学生积极主动地参与教学，并</w:t>
      </w:r>
      <w:r>
        <w:rPr>
          <w:rFonts w:hint="eastAsia" w:ascii="宋体" w:hAnsi="宋体" w:eastAsia="宋体" w:cs="宋体"/>
          <w:sz w:val="24"/>
          <w:szCs w:val="24"/>
          <w:lang w:eastAsia="zh-CN"/>
        </w:rPr>
        <w:t>努力进行</w:t>
      </w:r>
      <w:r>
        <w:rPr>
          <w:rFonts w:hint="eastAsia" w:ascii="宋体" w:hAnsi="宋体" w:eastAsia="宋体" w:cs="宋体"/>
          <w:sz w:val="24"/>
          <w:szCs w:val="24"/>
        </w:rPr>
        <w:t>学历提升和</w:t>
      </w:r>
      <w:r>
        <w:rPr>
          <w:rFonts w:hint="eastAsia" w:ascii="宋体" w:hAnsi="宋体" w:eastAsia="宋体" w:cs="宋体"/>
          <w:sz w:val="24"/>
          <w:szCs w:val="24"/>
          <w:lang w:eastAsia="zh-CN"/>
        </w:rPr>
        <w:t>理性的</w:t>
      </w:r>
      <w:r>
        <w:rPr>
          <w:rFonts w:hint="eastAsia" w:ascii="宋体" w:hAnsi="宋体" w:eastAsia="宋体" w:cs="宋体"/>
          <w:sz w:val="24"/>
          <w:szCs w:val="24"/>
        </w:rPr>
        <w:t>职业规划。</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五、</w:t>
      </w:r>
      <w:r>
        <w:rPr>
          <w:rFonts w:hint="eastAsia" w:ascii="宋体" w:hAnsi="宋体" w:eastAsia="宋体" w:cs="宋体"/>
          <w:sz w:val="24"/>
          <w:szCs w:val="24"/>
        </w:rPr>
        <w:t>学院更加整体、全面细致地做好人才培养计划</w:t>
      </w:r>
      <w:r>
        <w:rPr>
          <w:rFonts w:hint="eastAsia" w:ascii="宋体" w:hAnsi="宋体" w:eastAsia="宋体" w:cs="宋体"/>
          <w:sz w:val="24"/>
          <w:szCs w:val="24"/>
          <w:lang w:eastAsia="zh-CN"/>
        </w:rPr>
        <w:t>调整修订</w:t>
      </w:r>
      <w:r>
        <w:rPr>
          <w:rFonts w:hint="eastAsia" w:ascii="宋体" w:hAnsi="宋体" w:eastAsia="宋体" w:cs="宋体"/>
          <w:sz w:val="24"/>
          <w:szCs w:val="24"/>
        </w:rPr>
        <w:t>、课程设置工作，并切实做好教学的过程化管理。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六、</w:t>
      </w:r>
      <w:r>
        <w:rPr>
          <w:rFonts w:hint="eastAsia" w:ascii="宋体" w:hAnsi="宋体" w:eastAsia="宋体" w:cs="宋体"/>
          <w:sz w:val="24"/>
          <w:szCs w:val="24"/>
        </w:rPr>
        <w:t>严格培养质量要求的同时，</w:t>
      </w:r>
      <w:r>
        <w:rPr>
          <w:rFonts w:hint="eastAsia" w:ascii="宋体" w:hAnsi="宋体" w:eastAsia="宋体" w:cs="宋体"/>
          <w:sz w:val="24"/>
          <w:szCs w:val="24"/>
          <w:lang w:eastAsia="zh-CN"/>
        </w:rPr>
        <w:t>注意</w:t>
      </w:r>
      <w:r>
        <w:rPr>
          <w:rFonts w:hint="eastAsia" w:ascii="宋体" w:hAnsi="宋体" w:eastAsia="宋体" w:cs="宋体"/>
          <w:sz w:val="24"/>
          <w:szCs w:val="24"/>
        </w:rPr>
        <w:t>倾听学生的合理化建议，</w:t>
      </w:r>
      <w:r>
        <w:rPr>
          <w:rFonts w:hint="eastAsia" w:ascii="宋体" w:hAnsi="宋体" w:eastAsia="宋体" w:cs="宋体"/>
          <w:sz w:val="24"/>
          <w:szCs w:val="24"/>
          <w:lang w:eastAsia="zh-CN"/>
        </w:rPr>
        <w:t>及时</w:t>
      </w:r>
      <w:r>
        <w:rPr>
          <w:rFonts w:hint="eastAsia" w:ascii="宋体" w:hAnsi="宋体" w:eastAsia="宋体" w:cs="宋体"/>
          <w:sz w:val="24"/>
          <w:szCs w:val="24"/>
        </w:rPr>
        <w:t>改进人才培养和教学工作</w:t>
      </w:r>
      <w:r>
        <w:rPr>
          <w:rFonts w:hint="eastAsia" w:ascii="宋体" w:hAnsi="宋体" w:eastAsia="宋体" w:cs="宋体"/>
          <w:sz w:val="24"/>
          <w:szCs w:val="24"/>
          <w:lang w:eastAsia="zh-CN"/>
        </w:rPr>
        <w:t>中的不足之处，比如更合理客观的课程考核方式等</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七、</w:t>
      </w:r>
      <w:r>
        <w:rPr>
          <w:rFonts w:hint="eastAsia" w:ascii="宋体" w:hAnsi="宋体" w:eastAsia="宋体" w:cs="宋体"/>
          <w:sz w:val="24"/>
          <w:szCs w:val="24"/>
        </w:rPr>
        <w:t>教师加强教科研活动，注意信息化教学方式方法等的灵活应用，在教学中</w:t>
      </w:r>
      <w:r>
        <w:rPr>
          <w:rFonts w:hint="eastAsia" w:ascii="宋体" w:hAnsi="宋体" w:eastAsia="宋体" w:cs="宋体"/>
          <w:sz w:val="24"/>
          <w:szCs w:val="24"/>
          <w:lang w:eastAsia="zh-CN"/>
        </w:rPr>
        <w:t>加强</w:t>
      </w:r>
      <w:r>
        <w:rPr>
          <w:rFonts w:hint="eastAsia" w:ascii="宋体" w:hAnsi="宋体" w:eastAsia="宋体" w:cs="宋体"/>
          <w:sz w:val="24"/>
          <w:szCs w:val="24"/>
        </w:rPr>
        <w:t>师生互动，保证</w:t>
      </w:r>
      <w:r>
        <w:rPr>
          <w:rFonts w:hint="eastAsia" w:ascii="宋体" w:hAnsi="宋体" w:eastAsia="宋体" w:cs="宋体"/>
          <w:sz w:val="24"/>
          <w:szCs w:val="24"/>
          <w:lang w:eastAsia="zh-CN"/>
        </w:rPr>
        <w:t>了</w:t>
      </w:r>
      <w:r>
        <w:rPr>
          <w:rFonts w:hint="eastAsia" w:ascii="宋体" w:hAnsi="宋体" w:eastAsia="宋体" w:cs="宋体"/>
          <w:sz w:val="24"/>
          <w:szCs w:val="24"/>
        </w:rPr>
        <w:t>学生的实际学习效果。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八、</w:t>
      </w:r>
      <w:r>
        <w:rPr>
          <w:rFonts w:hint="eastAsia" w:ascii="宋体" w:hAnsi="宋体" w:eastAsia="宋体" w:cs="宋体"/>
          <w:sz w:val="24"/>
          <w:szCs w:val="24"/>
        </w:rPr>
        <w:t>学院更加有效地做好毕业生的就业指导工作，</w:t>
      </w:r>
      <w:r>
        <w:rPr>
          <w:rFonts w:hint="eastAsia" w:ascii="宋体" w:hAnsi="宋体" w:eastAsia="宋体" w:cs="宋体"/>
          <w:sz w:val="24"/>
          <w:szCs w:val="24"/>
          <w:lang w:eastAsia="zh-CN"/>
        </w:rPr>
        <w:t>并</w:t>
      </w:r>
      <w:r>
        <w:rPr>
          <w:rFonts w:hint="eastAsia" w:ascii="宋体" w:hAnsi="宋体" w:eastAsia="宋体" w:cs="宋体"/>
          <w:sz w:val="24"/>
          <w:szCs w:val="24"/>
        </w:rPr>
        <w:t>关注毕业生的长期发展。</w:t>
      </w:r>
    </w:p>
    <w:p>
      <w:pPr>
        <w:keepNext w:val="0"/>
        <w:keepLines w:val="0"/>
        <w:pageBreakBefore w:val="0"/>
        <w:widowControl w:val="0"/>
        <w:kinsoku/>
        <w:wordWrap/>
        <w:overflowPunct/>
        <w:topLinePunct w:val="0"/>
        <w:autoSpaceDE/>
        <w:autoSpaceDN/>
        <w:bidi w:val="0"/>
        <w:adjustRightInd/>
        <w:snapToGrid w:val="0"/>
        <w:spacing w:line="560" w:lineRule="exact"/>
        <w:ind w:left="5198" w:leftChars="304" w:hanging="4560" w:hangingChars="1900"/>
        <w:textAlignment w:val="auto"/>
        <w:rPr>
          <w:rFonts w:ascii="Times New Roman" w:hAnsi="Times New Roman" w:eastAsia="仿宋_GB2312" w:cs="Times New Roman"/>
          <w:b/>
          <w:kern w:val="0"/>
          <w:sz w:val="28"/>
          <w:szCs w:val="28"/>
        </w:rPr>
      </w:pPr>
      <w:r>
        <w:rPr>
          <w:rFonts w:hint="eastAsia" w:ascii="宋体" w:hAnsi="宋体" w:eastAsia="宋体" w:cs="宋体"/>
          <w:sz w:val="24"/>
          <w:szCs w:val="24"/>
        </w:rPr>
        <w:t xml:space="preserve">                                         </w:t>
      </w:r>
    </w:p>
    <w:p>
      <w:pPr>
        <w:ind w:firstLine="1687" w:firstLineChars="600"/>
        <w:rPr>
          <w:rFonts w:hint="default" w:eastAsiaTheme="minorEastAsia"/>
          <w:sz w:val="24"/>
          <w:szCs w:val="24"/>
          <w:lang w:val="en-US" w:eastAsia="zh-CN"/>
        </w:rPr>
      </w:pPr>
      <w:r>
        <w:rPr>
          <w:rFonts w:hint="eastAsia" w:asciiTheme="minorEastAsia" w:hAnsiTheme="minorEastAsia" w:eastAsiaTheme="minorEastAsia" w:cstheme="minorEastAsia"/>
          <w:b/>
          <w:bCs/>
          <w:kern w:val="2"/>
          <w:sz w:val="28"/>
          <w:szCs w:val="28"/>
          <w:lang w:val="en-US" w:eastAsia="zh-CN" w:bidi="ar-SA"/>
        </w:rPr>
        <w:t>海洋港口学院毕业生培养质量年度整改报告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结合麦可思毕业生培养质量评价报告（2021届）和麦可思毕业生培养目标达成与职业发展评价报告（2018届）两份报告的内容，海洋港口学院从学院、专业、课程、教师、学生五个层面，对就业质量、教学培养过程反馈、学院主要指标趋势分析三个方面进行了认真分析和整改。</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一、就业质量</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    我院毕业生毕业后以直接就业为主，从实际去向选择看，直接就业是主要方式，但升学意愿持续增强。毕业生在本省就业的比例有所下降，在云南、新疆等地就业的比例有所上升，在一定程度上与我院生源结构变化有关。毕业生能力素养整体达成情况较好，立德树人成效明显。毕业生对通用能力、职业能力的掌握水平能够满足初始工作岗位的要求。毕业生的工作与专业相关度略低于本校平均水平。从原因来看，我院毕业生因迫于现实先就业再择业，达不到工作要求来选择无关工作的比例较高。结合培养过程看，我院毕业生对毕业要求的了解度持续处于较高水平，且对培养目标的了解度有所提升。</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1.提高就业与专业的相关度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提高就业与专业的相关度，我院首先做好就业观的引导，通过每年的新生入学教育之学业规划、职业生涯规划课等形式引导学生保持良好就业心态。不断加强学生综合能力培养，必要的实习、社会实践、产学研合作教育，对学生专业学习、深化有切实帮助。我院继续完善校企合作机制，实现双方互利共赢，努力利用行业、企业的技术、设备来加强实践实训基地建设，实行企业和学校共同教育、管理和训练学生的教学新模式。主动寻找合作企业，校企双方共同制订人才培养计划，聘请相关企业实践经验丰富的专家和技术人员指导专业建设、承担实践教学工作，为企业培养实用性人才。推送个性化就业指导服务，了解学生就业意向，因材施教、因材施岗，努力实现岗位信息与求职信息“无缝对接”，满足学生个性化需求，减少后期的离职率。与时俱进，加强课程体系改革，深化人才培养模式。对于省外生源的毕业生，可以加大就业帮扶。鼓励和帮助学生努力考取相关专业的从业资格证书。</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2.完善就业指导、创新创业教育</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结合每年的江苏省“互联网+”创新创业大赛，引导学生转变就业观，鼓励学生参加创新创业实践，通过改进创业教学课程、创新创业教育活动的有力有效开展，着力培养学生的“双创”精神和能力，使“双创”成为稳就业的重要力量，多鼓励和指导学生参加各类创新创业大赛，并鼓励考取相关证书。</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3.做好就业困难学生工作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随着近几年来的生源特点，外省生源学生增多，对于就业困难学生开展一对一就业帮扶，特别是关心“建档立卡”贫困家庭学生、残疾学生、少数民族学生等特殊群体就业。从他们入校起，了解其学业就业规划，推送个性化就业指导服务，因材施教、因材施岗。</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二、教学培养过程反馈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院九成以上毕业生对教学满意。教学满意度是对在校期间教师的教学内容，教学效果，教学方法，教师能力素质水平等方面的综合评价，是衡量教学培养的重要指标。毕业生对我院的教学表示认可，说明我院教学工作开展成效显著。但毕业生也对我院教学提出了一定的改进需求，尤其是对多媒体和网络教学效果进行了有针对性的反馈。2021届毕业生对我院专业核心课程满意度评价呈上升趋势，认为课程培养效果较好，说明我院核心课程的设置持续向好发展。毕业生对学院教师指导总体满意度是92%，远高于本校平均水平88%。</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bookmarkStart w:id="16" w:name="_Toc31719314"/>
      <w:r>
        <w:rPr>
          <w:rFonts w:hint="eastAsia" w:ascii="宋体" w:hAnsi="宋体" w:eastAsia="宋体" w:cs="宋体"/>
          <w:b/>
          <w:bCs/>
          <w:sz w:val="24"/>
          <w:szCs w:val="24"/>
          <w:lang w:val="en-US" w:eastAsia="zh-CN"/>
        </w:rPr>
        <w:t>1.进一步加强专业建设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（1）做好学院专业建设优化，整合现有的优势专业。</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（2）加大师资队伍建设力度，出台文件推动教师实践能能力培养。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（3）加强对外交流合作，加强与当地行业产业的对接与联系，拓展兼课教师，建设一批实用的校外实习实训基地。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（4）建立多种形式的职业资格认证体系，积极利用好社会资源，为学生提供职业技能等级证书、职业资格证书的培训和考证；</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（5）将职业资格证书获取纳入人才培养方案课程体系，与毕业条件紧密相关，鼓励学生在毕业前考取专业相关的资格证书。</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2.持续进行教学改进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（1）加大学院机房更新改造建设，更新专业机房设备。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（2）引入成熟的课程平台，开展学生学习状态特别是实训状态的监测。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（3）从学院层面进一步加强课堂教学管理等相关的工作，确保课堂教学的规范性，抓好课堂教学质量，改善教学评价方式，提升人才培养质量。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（4）教师需要思考教学改革的创新途径，加强信息化教学手段的使用，提升教学质量和效果。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（5）优化课程设置，做好教师工作积极性的激励；</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（6）加强学生专业学习方面的引导，鼓励学生进入实验室，积极参与技能训练、技能竞赛。</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三、学院主要指标趋势分析</w:t>
      </w:r>
    </w:p>
    <w:bookmarkEnd w:id="16"/>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学院层面来看，本校2018届各学院毕业生对母校教学总体满意度均在九成以上。本院毕业生对母校教学的总体满意度评价相对较高，达97%。教学培养效果较好。从学院层面来看，2018届学院毕业生对母校的推荐度为66%，高于全校的65%，但低于外语商务学院、学前教育学院。推荐度偏低和学生的在校体验学习以及就业发展都有一定的关系，我院会进一步关注和调研。</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校2021届工程类专业毕业生在“积极努力、追求上进”、“团队合作”提升比例较高。工程类毕业生对毕业论文、课程实验实习实践活动满意度较高，而对校外顶岗实习、金工实习的满足度较低。我院会进一步关注工程类专业的培养效果，在理论课程及实践教学中融入相应要素的培养环节，为产业行业培养更多高素质技术技能人才。</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报告中的数据统计类型主要有各学院和各专业两类毕业生统计数据。虽然样本覆盖面没有达到全部，但现有样本数据也能较客观真实的反映出学院在人才培养过程中存在的问题，对问题原因的分析和后期的整改有一定的参考价值。报告既有对学校整体数据和情况的呈现，也有学院间、专业间相关数据的比较，通过比较，能较真实地反映出各学院、各专业在人才培养过程中各自的优势和短板，为相互学习、取长补短提供借鉴。</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kern w:val="0"/>
          <w:sz w:val="24"/>
          <w:szCs w:val="24"/>
          <w:lang w:eastAsia="zh-CN"/>
        </w:rPr>
      </w:pPr>
    </w:p>
    <w:p>
      <w:pPr>
        <w:keepNext w:val="0"/>
        <w:keepLines w:val="0"/>
        <w:pageBreakBefore w:val="0"/>
        <w:widowControl w:val="0"/>
        <w:tabs>
          <w:tab w:val="right" w:pos="8674"/>
        </w:tabs>
        <w:kinsoku/>
        <w:wordWrap/>
        <w:overflowPunct/>
        <w:topLinePunct w:val="0"/>
        <w:autoSpaceDE/>
        <w:autoSpaceDN/>
        <w:bidi w:val="0"/>
        <w:adjustRightInd/>
        <w:snapToGrid w:val="0"/>
        <w:spacing w:line="360" w:lineRule="auto"/>
        <w:ind w:firstLine="1124" w:firstLineChars="400"/>
        <w:textAlignment w:val="auto"/>
        <w:rPr>
          <w:rFonts w:hint="eastAsia" w:ascii="宋体" w:hAnsi="宋体" w:eastAsia="宋体" w:cs="宋体"/>
          <w:sz w:val="24"/>
          <w:szCs w:val="24"/>
          <w:lang w:eastAsia="zh-CN"/>
        </w:rPr>
      </w:pPr>
      <w:r>
        <w:rPr>
          <w:rFonts w:hint="eastAsia" w:ascii="宋体" w:hAnsi="宋体" w:eastAsia="宋体" w:cs="宋体"/>
          <w:b/>
          <w:bCs/>
          <w:sz w:val="28"/>
          <w:szCs w:val="28"/>
          <w:lang w:eastAsia="zh-CN"/>
        </w:rPr>
        <w:t>数学与信息工程学院毕业生培养质量年度整改报告</w:t>
      </w:r>
    </w:p>
    <w:p>
      <w:pPr>
        <w:keepNext w:val="0"/>
        <w:keepLines w:val="0"/>
        <w:pageBreakBefore w:val="0"/>
        <w:widowControl w:val="0"/>
        <w:tabs>
          <w:tab w:val="right" w:pos="8674"/>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麦可思公司提供的《连云港师范高等专科学校2018届毕业生培养目标达成与职业发展评价报告》和《连云港师范高等专科学校2021应届毕业生培养质量评价报告》，针对两份报告中关于培养目标达成、培养过程反馈和声誉建设情况方面的整体情况介绍与具体分项数据分析，结合我院人才培养过程实际，将对出现的现象和问题进行研究和分析，并思考解决办法和整改策略。</w:t>
      </w:r>
    </w:p>
    <w:p>
      <w:pPr>
        <w:keepNext w:val="0"/>
        <w:keepLines w:val="0"/>
        <w:pageBreakBefore w:val="0"/>
        <w:widowControl w:val="0"/>
        <w:tabs>
          <w:tab w:val="right" w:pos="8674"/>
        </w:tabs>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一、学院主要指标趋势分析</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从两份报告来看：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报告由重要发现、总述、培养结果、服务贡献、能力素养达成、培养过程反馈、学生服务成效及技术报告组成。报告既有对学校整体数据和情况的呈现，也有学院间、专业间相关数据的比较，通过比较，能较真实地反映出各学院、各专业在人才培养过程中各自的优势和短板，为相互学习、取长补短提供借鉴。</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报告中的数据统计类型主要有各学院和各专业两类毕业生统计数据。虽然样本覆盖面没有达到全部，但现有样本数据也能较客观真实的反映出学院在人才培养过程中存在的问题，对问题原因的分析和后期的整改有一定的参考价值。</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下面表1-4分别是我院2021届和2018届实际各专业毕业生人数及样本构成情况和各专业主要指标的样本数情况。</w:t>
      </w:r>
    </w:p>
    <w:p>
      <w:pPr>
        <w:spacing w:line="360" w:lineRule="auto"/>
        <w:ind w:firstLine="480" w:firstLineChars="200"/>
        <w:rPr>
          <w:rFonts w:ascii="宋体" w:hAnsi="宋体" w:cs="宋体"/>
          <w:sz w:val="24"/>
          <w:szCs w:val="24"/>
        </w:rPr>
      </w:pPr>
    </w:p>
    <w:p>
      <w:pPr>
        <w:pStyle w:val="5"/>
        <w:spacing w:line="380" w:lineRule="exact"/>
        <w:jc w:val="center"/>
        <w:rPr>
          <w:rFonts w:cs="宋体"/>
          <w:b/>
          <w:sz w:val="24"/>
          <w:szCs w:val="24"/>
        </w:rPr>
      </w:pPr>
      <w:bookmarkStart w:id="17" w:name="_Toc31719313"/>
      <w:bookmarkStart w:id="18" w:name="itb_147"/>
      <w:r>
        <w:rPr>
          <w:rFonts w:cs="宋体"/>
          <w:b/>
          <w:sz w:val="24"/>
          <w:szCs w:val="24"/>
          <w:lang w:val="en-US"/>
        </w:rPr>
        <w:t xml:space="preserve">表1  </w:t>
      </w:r>
      <w:r>
        <w:rPr>
          <w:rFonts w:hint="eastAsia" w:cs="宋体"/>
          <w:b/>
          <w:sz w:val="24"/>
          <w:szCs w:val="24"/>
        </w:rPr>
        <w:t>我院</w:t>
      </w:r>
      <w:r>
        <w:rPr>
          <w:rFonts w:cs="宋体"/>
          <w:b/>
          <w:sz w:val="24"/>
          <w:szCs w:val="24"/>
          <w:lang w:val="en-US"/>
        </w:rPr>
        <w:t>2021届</w:t>
      </w:r>
      <w:r>
        <w:rPr>
          <w:rFonts w:hint="eastAsia" w:cs="宋体"/>
          <w:b/>
          <w:sz w:val="24"/>
          <w:szCs w:val="24"/>
        </w:rPr>
        <w:t>实际各专业毕业生人数及样本构成情况</w:t>
      </w:r>
      <w:bookmarkEnd w:id="17"/>
    </w:p>
    <w:tbl>
      <w:tblPr>
        <w:tblStyle w:val="14"/>
        <w:tblW w:w="5000" w:type="pct"/>
        <w:jc w:val="center"/>
        <w:tblLayout w:type="autofit"/>
        <w:tblCellMar>
          <w:top w:w="0" w:type="dxa"/>
          <w:left w:w="108" w:type="dxa"/>
          <w:bottom w:w="0" w:type="dxa"/>
          <w:right w:w="108" w:type="dxa"/>
        </w:tblCellMar>
      </w:tblPr>
      <w:tblGrid>
        <w:gridCol w:w="2132"/>
        <w:gridCol w:w="1196"/>
        <w:gridCol w:w="1196"/>
        <w:gridCol w:w="1196"/>
        <w:gridCol w:w="934"/>
        <w:gridCol w:w="935"/>
        <w:gridCol w:w="933"/>
      </w:tblGrid>
      <w:tr>
        <w:tblPrEx>
          <w:tblCellMar>
            <w:top w:w="0" w:type="dxa"/>
            <w:left w:w="108" w:type="dxa"/>
            <w:bottom w:w="0" w:type="dxa"/>
            <w:right w:w="108" w:type="dxa"/>
          </w:tblCellMar>
        </w:tblPrEx>
        <w:trPr>
          <w:trHeight w:val="480" w:hRule="atLeast"/>
          <w:tblHeader/>
          <w:jc w:val="center"/>
        </w:trPr>
        <w:tc>
          <w:tcPr>
            <w:tcW w:w="1251" w:type="pct"/>
            <w:tcBorders>
              <w:top w:val="nil"/>
              <w:left w:val="nil"/>
              <w:bottom w:val="nil"/>
              <w:right w:val="single" w:color="FFFFFF" w:sz="12" w:space="0"/>
            </w:tcBorders>
            <w:shd w:val="clear" w:color="000000" w:fill="2350A0"/>
            <w:vAlign w:val="center"/>
          </w:tcPr>
          <w:p>
            <w:pPr>
              <w:widowControl/>
              <w:spacing w:line="380" w:lineRule="exact"/>
              <w:jc w:val="center"/>
              <w:rPr>
                <w:b/>
                <w:bCs/>
                <w:color w:val="FFFFFF" w:themeColor="background1"/>
                <w:kern w:val="0"/>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学院名称</w:t>
            </w:r>
          </w:p>
        </w:tc>
        <w:tc>
          <w:tcPr>
            <w:tcW w:w="702"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实际毕业生人数（人）</w:t>
            </w:r>
          </w:p>
        </w:tc>
        <w:tc>
          <w:tcPr>
            <w:tcW w:w="702"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回收问卷数（份）</w:t>
            </w:r>
          </w:p>
        </w:tc>
        <w:tc>
          <w:tcPr>
            <w:tcW w:w="702"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实际毕业生分布（%）</w:t>
            </w:r>
          </w:p>
        </w:tc>
        <w:tc>
          <w:tcPr>
            <w:tcW w:w="548"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样本数分布（%）</w:t>
            </w:r>
          </w:p>
        </w:tc>
        <w:tc>
          <w:tcPr>
            <w:tcW w:w="548"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样本比例（%）</w:t>
            </w:r>
          </w:p>
        </w:tc>
        <w:tc>
          <w:tcPr>
            <w:tcW w:w="547" w:type="pct"/>
            <w:tcBorders>
              <w:top w:val="nil"/>
              <w:left w:val="nil"/>
              <w:bottom w:val="nil"/>
              <w:right w:val="single" w:color="FFFFFF" w:sz="12" w:space="0"/>
            </w:tcBorders>
            <w:shd w:val="clear" w:color="000000" w:fill="2350A0"/>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备注</w:t>
            </w:r>
          </w:p>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（排名）</w:t>
            </w:r>
          </w:p>
        </w:tc>
      </w:tr>
      <w:tr>
        <w:tblPrEx>
          <w:tblCellMar>
            <w:top w:w="0" w:type="dxa"/>
            <w:left w:w="108" w:type="dxa"/>
            <w:bottom w:w="0" w:type="dxa"/>
            <w:right w:w="108" w:type="dxa"/>
          </w:tblCellMar>
        </w:tblPrEx>
        <w:trPr>
          <w:trHeight w:val="270" w:hRule="atLeast"/>
          <w:jc w:val="center"/>
        </w:trPr>
        <w:tc>
          <w:tcPr>
            <w:tcW w:w="1251" w:type="pct"/>
            <w:tcBorders>
              <w:top w:val="nil"/>
              <w:left w:val="nil"/>
              <w:bottom w:val="nil"/>
              <w:right w:val="nil"/>
            </w:tcBorders>
            <w:shd w:val="clear" w:color="000000" w:fill="FFFFFF"/>
            <w:vAlign w:val="center"/>
          </w:tcPr>
          <w:p>
            <w:pPr>
              <w:spacing w:line="380" w:lineRule="exact"/>
              <w:jc w:val="left"/>
              <w:rPr>
                <w:b/>
                <w:bCs/>
                <w:sz w:val="20"/>
                <w:szCs w:val="20"/>
              </w:rPr>
            </w:pPr>
            <w:r>
              <w:rPr>
                <w:rFonts w:hint="eastAsia"/>
                <w:b/>
                <w:bCs/>
                <w:sz w:val="20"/>
                <w:szCs w:val="20"/>
              </w:rPr>
              <w:t>总计</w:t>
            </w:r>
          </w:p>
        </w:tc>
        <w:tc>
          <w:tcPr>
            <w:tcW w:w="702"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2395</w:t>
            </w:r>
          </w:p>
        </w:tc>
        <w:tc>
          <w:tcPr>
            <w:tcW w:w="702"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1142</w:t>
            </w:r>
          </w:p>
        </w:tc>
        <w:tc>
          <w:tcPr>
            <w:tcW w:w="702"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w:t>
            </w:r>
          </w:p>
        </w:tc>
        <w:tc>
          <w:tcPr>
            <w:tcW w:w="548"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w:t>
            </w:r>
          </w:p>
        </w:tc>
        <w:tc>
          <w:tcPr>
            <w:tcW w:w="548"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47.7</w:t>
            </w:r>
          </w:p>
        </w:tc>
        <w:tc>
          <w:tcPr>
            <w:tcW w:w="547" w:type="pct"/>
            <w:tcBorders>
              <w:top w:val="nil"/>
              <w:left w:val="nil"/>
              <w:bottom w:val="nil"/>
              <w:right w:val="nil"/>
            </w:tcBorders>
            <w:shd w:val="clear" w:color="000000" w:fill="FFFFFF"/>
          </w:tcPr>
          <w:p>
            <w:pPr>
              <w:spacing w:line="380" w:lineRule="exact"/>
              <w:jc w:val="center"/>
              <w:rPr>
                <w:b/>
                <w:bCs/>
                <w:sz w:val="20"/>
                <w:szCs w:val="20"/>
              </w:rPr>
            </w:pPr>
          </w:p>
        </w:tc>
      </w:tr>
      <w:tr>
        <w:tblPrEx>
          <w:tblCellMar>
            <w:top w:w="0" w:type="dxa"/>
            <w:left w:w="108" w:type="dxa"/>
            <w:bottom w:w="0" w:type="dxa"/>
            <w:right w:w="108" w:type="dxa"/>
          </w:tblCellMar>
        </w:tblPrEx>
        <w:trPr>
          <w:trHeight w:val="270" w:hRule="atLeast"/>
          <w:jc w:val="center"/>
        </w:trPr>
        <w:tc>
          <w:tcPr>
            <w:tcW w:w="1251" w:type="pct"/>
            <w:tcBorders>
              <w:top w:val="nil"/>
              <w:left w:val="nil"/>
              <w:bottom w:val="nil"/>
              <w:right w:val="nil"/>
            </w:tcBorders>
            <w:shd w:val="clear" w:color="auto" w:fill="B6DDE8"/>
          </w:tcPr>
          <w:p>
            <w:pPr>
              <w:spacing w:line="380" w:lineRule="exact"/>
              <w:jc w:val="left"/>
              <w:rPr>
                <w:sz w:val="20"/>
                <w:szCs w:val="20"/>
              </w:rPr>
            </w:pPr>
            <w:r>
              <w:rPr>
                <w:rFonts w:hint="eastAsia"/>
                <w:sz w:val="20"/>
                <w:szCs w:val="20"/>
              </w:rPr>
              <w:t>数学与信息工程学院</w:t>
            </w:r>
          </w:p>
        </w:tc>
        <w:tc>
          <w:tcPr>
            <w:tcW w:w="702"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215</w:t>
            </w:r>
          </w:p>
        </w:tc>
        <w:tc>
          <w:tcPr>
            <w:tcW w:w="702"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112</w:t>
            </w:r>
          </w:p>
        </w:tc>
        <w:tc>
          <w:tcPr>
            <w:tcW w:w="702"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9.0</w:t>
            </w:r>
          </w:p>
        </w:tc>
        <w:tc>
          <w:tcPr>
            <w:tcW w:w="548"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9.8</w:t>
            </w:r>
          </w:p>
        </w:tc>
        <w:tc>
          <w:tcPr>
            <w:tcW w:w="548"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52.1</w:t>
            </w:r>
          </w:p>
        </w:tc>
        <w:tc>
          <w:tcPr>
            <w:tcW w:w="547" w:type="pct"/>
            <w:tcBorders>
              <w:top w:val="nil"/>
              <w:left w:val="nil"/>
              <w:bottom w:val="nil"/>
              <w:right w:val="nil"/>
            </w:tcBorders>
            <w:shd w:val="clear" w:color="auto" w:fill="B6DDE8"/>
          </w:tcPr>
          <w:p>
            <w:pPr>
              <w:spacing w:line="380" w:lineRule="exact"/>
              <w:jc w:val="center"/>
              <w:rPr>
                <w:sz w:val="20"/>
                <w:szCs w:val="20"/>
              </w:rPr>
            </w:pPr>
            <w:r>
              <w:rPr>
                <w:rFonts w:hint="eastAsia"/>
                <w:sz w:val="20"/>
                <w:szCs w:val="20"/>
              </w:rPr>
              <w:t>5/</w:t>
            </w:r>
            <w:r>
              <w:rPr>
                <w:sz w:val="20"/>
                <w:szCs w:val="20"/>
              </w:rPr>
              <w:t>8</w:t>
            </w:r>
          </w:p>
        </w:tc>
      </w:tr>
      <w:bookmarkEnd w:id="18"/>
    </w:tbl>
    <w:p>
      <w:pPr>
        <w:rPr>
          <w:vanish/>
        </w:rPr>
      </w:pPr>
    </w:p>
    <w:tbl>
      <w:tblPr>
        <w:tblStyle w:val="14"/>
        <w:tblpPr w:leftFromText="180" w:rightFromText="180" w:vertAnchor="text" w:horzAnchor="margin" w:tblpY="4"/>
        <w:tblW w:w="5000" w:type="pct"/>
        <w:tblInd w:w="0" w:type="dxa"/>
        <w:shd w:val="clear" w:color="auto" w:fill="C6D9F0" w:themeFill="text2" w:themeFillTint="33"/>
        <w:tblLayout w:type="autofit"/>
        <w:tblCellMar>
          <w:top w:w="0" w:type="dxa"/>
          <w:left w:w="108" w:type="dxa"/>
          <w:bottom w:w="0" w:type="dxa"/>
          <w:right w:w="108" w:type="dxa"/>
        </w:tblCellMar>
      </w:tblPr>
      <w:tblGrid>
        <w:gridCol w:w="2136"/>
        <w:gridCol w:w="1198"/>
        <w:gridCol w:w="1196"/>
        <w:gridCol w:w="1196"/>
        <w:gridCol w:w="934"/>
        <w:gridCol w:w="934"/>
        <w:gridCol w:w="928"/>
      </w:tblGrid>
      <w:tr>
        <w:tblPrEx>
          <w:tblCellMar>
            <w:top w:w="0" w:type="dxa"/>
            <w:left w:w="108" w:type="dxa"/>
            <w:bottom w:w="0" w:type="dxa"/>
            <w:right w:w="108" w:type="dxa"/>
          </w:tblCellMar>
        </w:tblPrEx>
        <w:trPr>
          <w:trHeight w:val="270" w:hRule="atLeast"/>
        </w:trPr>
        <w:tc>
          <w:tcPr>
            <w:tcW w:w="1253" w:type="pct"/>
            <w:tcBorders>
              <w:top w:val="nil"/>
              <w:left w:val="nil"/>
              <w:bottom w:val="nil"/>
              <w:right w:val="nil"/>
            </w:tcBorders>
            <w:shd w:val="clear" w:color="auto" w:fill="FFFFFF" w:themeFill="background1" w:themeFillTint="33"/>
          </w:tcPr>
          <w:p>
            <w:pPr>
              <w:spacing w:line="380" w:lineRule="exact"/>
              <w:jc w:val="left"/>
              <w:rPr>
                <w:sz w:val="20"/>
                <w:szCs w:val="20"/>
              </w:rPr>
            </w:pPr>
            <w:r>
              <w:rPr>
                <w:rFonts w:hint="eastAsia"/>
                <w:sz w:val="20"/>
                <w:szCs w:val="20"/>
              </w:rPr>
              <w:t>数学教育</w:t>
            </w:r>
          </w:p>
        </w:tc>
        <w:tc>
          <w:tcPr>
            <w:tcW w:w="703"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116</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49</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4.8</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4.3</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42.2</w:t>
            </w:r>
          </w:p>
        </w:tc>
        <w:tc>
          <w:tcPr>
            <w:tcW w:w="544" w:type="pct"/>
            <w:tcBorders>
              <w:top w:val="nil"/>
              <w:left w:val="nil"/>
              <w:bottom w:val="nil"/>
              <w:right w:val="nil"/>
            </w:tcBorders>
            <w:shd w:val="clear" w:color="auto" w:fill="FFFFFF" w:themeFill="background1" w:themeFillTint="33"/>
          </w:tcPr>
          <w:p>
            <w:pPr>
              <w:spacing w:line="380" w:lineRule="exact"/>
              <w:jc w:val="center"/>
              <w:rPr>
                <w:sz w:val="20"/>
                <w:szCs w:val="20"/>
              </w:rPr>
            </w:pPr>
          </w:p>
        </w:tc>
      </w:tr>
      <w:tr>
        <w:tblPrEx>
          <w:tblCellMar>
            <w:top w:w="0" w:type="dxa"/>
            <w:left w:w="108" w:type="dxa"/>
            <w:bottom w:w="0" w:type="dxa"/>
            <w:right w:w="108" w:type="dxa"/>
          </w:tblCellMar>
        </w:tblPrEx>
        <w:trPr>
          <w:trHeight w:val="270" w:hRule="atLeast"/>
        </w:trPr>
        <w:tc>
          <w:tcPr>
            <w:tcW w:w="1253" w:type="pct"/>
            <w:tcBorders>
              <w:top w:val="nil"/>
              <w:left w:val="nil"/>
              <w:bottom w:val="nil"/>
              <w:right w:val="nil"/>
            </w:tcBorders>
            <w:shd w:val="clear" w:color="auto" w:fill="C6D9F0" w:themeFill="text2" w:themeFillTint="33"/>
          </w:tcPr>
          <w:p>
            <w:pPr>
              <w:spacing w:line="380" w:lineRule="exact"/>
              <w:jc w:val="left"/>
              <w:rPr>
                <w:sz w:val="20"/>
                <w:szCs w:val="20"/>
              </w:rPr>
            </w:pPr>
            <w:r>
              <w:rPr>
                <w:rFonts w:hint="eastAsia"/>
                <w:sz w:val="20"/>
                <w:szCs w:val="20"/>
              </w:rPr>
              <w:t>会计</w:t>
            </w:r>
          </w:p>
        </w:tc>
        <w:tc>
          <w:tcPr>
            <w:tcW w:w="703"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60</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38</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2.5</w:t>
            </w:r>
          </w:p>
        </w:tc>
        <w:tc>
          <w:tcPr>
            <w:tcW w:w="548"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3.3</w:t>
            </w:r>
          </w:p>
        </w:tc>
        <w:tc>
          <w:tcPr>
            <w:tcW w:w="548"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63.3</w:t>
            </w:r>
          </w:p>
        </w:tc>
        <w:tc>
          <w:tcPr>
            <w:tcW w:w="544" w:type="pct"/>
            <w:tcBorders>
              <w:top w:val="nil"/>
              <w:left w:val="nil"/>
              <w:bottom w:val="nil"/>
              <w:right w:val="nil"/>
            </w:tcBorders>
            <w:shd w:val="clear" w:color="auto" w:fill="C6D9F0" w:themeFill="text2" w:themeFillTint="33"/>
          </w:tcPr>
          <w:p>
            <w:pPr>
              <w:spacing w:line="380" w:lineRule="exact"/>
              <w:jc w:val="center"/>
              <w:rPr>
                <w:sz w:val="20"/>
                <w:szCs w:val="20"/>
              </w:rPr>
            </w:pPr>
          </w:p>
        </w:tc>
      </w:tr>
      <w:tr>
        <w:tblPrEx>
          <w:tblCellMar>
            <w:top w:w="0" w:type="dxa"/>
            <w:left w:w="108" w:type="dxa"/>
            <w:bottom w:w="0" w:type="dxa"/>
            <w:right w:w="108" w:type="dxa"/>
          </w:tblCellMar>
        </w:tblPrEx>
        <w:trPr>
          <w:trHeight w:val="270" w:hRule="atLeast"/>
        </w:trPr>
        <w:tc>
          <w:tcPr>
            <w:tcW w:w="1253" w:type="pct"/>
            <w:tcBorders>
              <w:top w:val="nil"/>
              <w:left w:val="nil"/>
              <w:bottom w:val="nil"/>
              <w:right w:val="nil"/>
            </w:tcBorders>
            <w:shd w:val="clear" w:color="auto" w:fill="FFFFFF" w:themeFill="background1" w:themeFillTint="33"/>
          </w:tcPr>
          <w:p>
            <w:pPr>
              <w:spacing w:line="380" w:lineRule="exact"/>
              <w:jc w:val="left"/>
              <w:rPr>
                <w:sz w:val="20"/>
                <w:szCs w:val="20"/>
              </w:rPr>
            </w:pPr>
            <w:r>
              <w:rPr>
                <w:rFonts w:hint="eastAsia"/>
                <w:sz w:val="20"/>
                <w:szCs w:val="20"/>
              </w:rPr>
              <w:t>软件技术</w:t>
            </w:r>
          </w:p>
        </w:tc>
        <w:tc>
          <w:tcPr>
            <w:tcW w:w="703"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17</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10</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0.7</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0.9</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58.8</w:t>
            </w:r>
          </w:p>
        </w:tc>
        <w:tc>
          <w:tcPr>
            <w:tcW w:w="544" w:type="pct"/>
            <w:tcBorders>
              <w:top w:val="nil"/>
              <w:left w:val="nil"/>
              <w:bottom w:val="nil"/>
              <w:right w:val="nil"/>
            </w:tcBorders>
            <w:shd w:val="clear" w:color="auto" w:fill="FFFFFF" w:themeFill="background1" w:themeFillTint="33"/>
          </w:tcPr>
          <w:p>
            <w:pPr>
              <w:spacing w:line="380" w:lineRule="exact"/>
              <w:jc w:val="center"/>
              <w:rPr>
                <w:sz w:val="20"/>
                <w:szCs w:val="20"/>
              </w:rPr>
            </w:pPr>
          </w:p>
        </w:tc>
      </w:tr>
      <w:tr>
        <w:tblPrEx>
          <w:tblCellMar>
            <w:top w:w="0" w:type="dxa"/>
            <w:left w:w="108" w:type="dxa"/>
            <w:bottom w:w="0" w:type="dxa"/>
            <w:right w:w="108" w:type="dxa"/>
          </w:tblCellMar>
        </w:tblPrEx>
        <w:trPr>
          <w:trHeight w:val="270" w:hRule="atLeast"/>
        </w:trPr>
        <w:tc>
          <w:tcPr>
            <w:tcW w:w="1253" w:type="pct"/>
            <w:tcBorders>
              <w:top w:val="nil"/>
              <w:left w:val="nil"/>
              <w:bottom w:val="nil"/>
              <w:right w:val="nil"/>
            </w:tcBorders>
            <w:shd w:val="clear" w:color="auto" w:fill="C6D9F0" w:themeFill="text2" w:themeFillTint="33"/>
          </w:tcPr>
          <w:p>
            <w:pPr>
              <w:spacing w:line="380" w:lineRule="exact"/>
              <w:jc w:val="left"/>
              <w:rPr>
                <w:sz w:val="20"/>
                <w:szCs w:val="20"/>
              </w:rPr>
            </w:pPr>
            <w:r>
              <w:rPr>
                <w:rFonts w:hint="eastAsia"/>
                <w:sz w:val="20"/>
                <w:szCs w:val="20"/>
              </w:rPr>
              <w:t>大数据技术与应用</w:t>
            </w:r>
          </w:p>
        </w:tc>
        <w:tc>
          <w:tcPr>
            <w:tcW w:w="703"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13</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9</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0.5</w:t>
            </w:r>
          </w:p>
        </w:tc>
        <w:tc>
          <w:tcPr>
            <w:tcW w:w="548"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0.8</w:t>
            </w:r>
          </w:p>
        </w:tc>
        <w:tc>
          <w:tcPr>
            <w:tcW w:w="548"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69.2</w:t>
            </w:r>
          </w:p>
        </w:tc>
        <w:tc>
          <w:tcPr>
            <w:tcW w:w="544" w:type="pct"/>
            <w:tcBorders>
              <w:top w:val="nil"/>
              <w:left w:val="nil"/>
              <w:bottom w:val="nil"/>
              <w:right w:val="nil"/>
            </w:tcBorders>
            <w:shd w:val="clear" w:color="auto" w:fill="C6D9F0" w:themeFill="text2" w:themeFillTint="33"/>
          </w:tcPr>
          <w:p>
            <w:pPr>
              <w:spacing w:line="380" w:lineRule="exact"/>
              <w:jc w:val="center"/>
              <w:rPr>
                <w:sz w:val="20"/>
                <w:szCs w:val="20"/>
              </w:rPr>
            </w:pPr>
          </w:p>
        </w:tc>
      </w:tr>
      <w:tr>
        <w:tblPrEx>
          <w:tblCellMar>
            <w:top w:w="0" w:type="dxa"/>
            <w:left w:w="108" w:type="dxa"/>
            <w:bottom w:w="0" w:type="dxa"/>
            <w:right w:w="108" w:type="dxa"/>
          </w:tblCellMar>
        </w:tblPrEx>
        <w:trPr>
          <w:trHeight w:val="285" w:hRule="atLeast"/>
        </w:trPr>
        <w:tc>
          <w:tcPr>
            <w:tcW w:w="1253" w:type="pct"/>
            <w:tcBorders>
              <w:top w:val="nil"/>
              <w:left w:val="nil"/>
              <w:bottom w:val="single" w:color="57B8E7" w:sz="12" w:space="0"/>
              <w:right w:val="nil"/>
            </w:tcBorders>
            <w:shd w:val="clear" w:color="auto" w:fill="FFFFFF" w:themeFill="background1" w:themeFillTint="33"/>
          </w:tcPr>
          <w:p>
            <w:pPr>
              <w:spacing w:line="380" w:lineRule="exact"/>
              <w:jc w:val="left"/>
              <w:rPr>
                <w:sz w:val="20"/>
                <w:szCs w:val="20"/>
              </w:rPr>
            </w:pPr>
            <w:r>
              <w:rPr>
                <w:rFonts w:hint="eastAsia"/>
                <w:sz w:val="20"/>
                <w:szCs w:val="20"/>
              </w:rPr>
              <w:t>动漫制作技术</w:t>
            </w:r>
          </w:p>
        </w:tc>
        <w:tc>
          <w:tcPr>
            <w:tcW w:w="703"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rPr>
                <w:rFonts w:cs="Calibri"/>
                <w:sz w:val="20"/>
                <w:szCs w:val="20"/>
              </w:rPr>
              <w:t>9</w:t>
            </w:r>
          </w:p>
        </w:tc>
        <w:tc>
          <w:tcPr>
            <w:tcW w:w="702"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rPr>
                <w:rFonts w:cs="Calibri"/>
                <w:sz w:val="20"/>
                <w:szCs w:val="20"/>
              </w:rPr>
              <w:t>6</w:t>
            </w:r>
          </w:p>
        </w:tc>
        <w:tc>
          <w:tcPr>
            <w:tcW w:w="702"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rPr>
                <w:rFonts w:cs="Calibri"/>
                <w:sz w:val="20"/>
                <w:szCs w:val="20"/>
              </w:rPr>
              <w:t>0.4</w:t>
            </w:r>
          </w:p>
        </w:tc>
        <w:tc>
          <w:tcPr>
            <w:tcW w:w="548"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rPr>
                <w:rFonts w:cs="Calibri"/>
                <w:sz w:val="20"/>
                <w:szCs w:val="20"/>
              </w:rPr>
              <w:t>0.5</w:t>
            </w:r>
          </w:p>
        </w:tc>
        <w:tc>
          <w:tcPr>
            <w:tcW w:w="548"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rPr>
                <w:rFonts w:cs="Calibri"/>
                <w:sz w:val="20"/>
                <w:szCs w:val="20"/>
              </w:rPr>
              <w:t>66.7</w:t>
            </w:r>
          </w:p>
        </w:tc>
        <w:tc>
          <w:tcPr>
            <w:tcW w:w="544"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p>
        </w:tc>
      </w:tr>
    </w:tbl>
    <w:p>
      <w:pPr>
        <w:pStyle w:val="5"/>
        <w:spacing w:line="380" w:lineRule="exact"/>
        <w:jc w:val="center"/>
        <w:rPr>
          <w:rFonts w:cs="宋体"/>
          <w:b/>
          <w:sz w:val="24"/>
          <w:szCs w:val="24"/>
        </w:rPr>
      </w:pPr>
    </w:p>
    <w:p>
      <w:pPr>
        <w:pStyle w:val="5"/>
        <w:spacing w:line="380" w:lineRule="exact"/>
        <w:jc w:val="center"/>
        <w:rPr>
          <w:rFonts w:cs="宋体"/>
          <w:b/>
          <w:sz w:val="24"/>
          <w:szCs w:val="24"/>
        </w:rPr>
      </w:pPr>
      <w:r>
        <w:rPr>
          <w:rFonts w:cs="宋体"/>
          <w:b/>
          <w:sz w:val="24"/>
          <w:szCs w:val="24"/>
          <w:lang w:val="en-US"/>
        </w:rPr>
        <w:t xml:space="preserve">表2  </w:t>
      </w:r>
      <w:r>
        <w:rPr>
          <w:rFonts w:hint="eastAsia" w:cs="宋体"/>
          <w:b/>
          <w:sz w:val="24"/>
          <w:szCs w:val="24"/>
        </w:rPr>
        <w:t>我院</w:t>
      </w:r>
      <w:r>
        <w:rPr>
          <w:rFonts w:cs="宋体"/>
          <w:b/>
          <w:sz w:val="24"/>
          <w:szCs w:val="24"/>
          <w:lang w:val="en-US"/>
        </w:rPr>
        <w:t>2018届</w:t>
      </w:r>
      <w:r>
        <w:rPr>
          <w:rFonts w:hint="eastAsia" w:cs="宋体"/>
          <w:b/>
          <w:sz w:val="24"/>
          <w:szCs w:val="24"/>
        </w:rPr>
        <w:t>实际各专业毕业生人数及样本构成情况</w:t>
      </w:r>
    </w:p>
    <w:tbl>
      <w:tblPr>
        <w:tblStyle w:val="14"/>
        <w:tblW w:w="5000" w:type="pct"/>
        <w:jc w:val="center"/>
        <w:tblLayout w:type="autofit"/>
        <w:tblCellMar>
          <w:top w:w="0" w:type="dxa"/>
          <w:left w:w="108" w:type="dxa"/>
          <w:bottom w:w="0" w:type="dxa"/>
          <w:right w:w="108" w:type="dxa"/>
        </w:tblCellMar>
      </w:tblPr>
      <w:tblGrid>
        <w:gridCol w:w="2132"/>
        <w:gridCol w:w="1196"/>
        <w:gridCol w:w="1196"/>
        <w:gridCol w:w="1196"/>
        <w:gridCol w:w="934"/>
        <w:gridCol w:w="935"/>
        <w:gridCol w:w="933"/>
      </w:tblGrid>
      <w:tr>
        <w:tblPrEx>
          <w:tblCellMar>
            <w:top w:w="0" w:type="dxa"/>
            <w:left w:w="108" w:type="dxa"/>
            <w:bottom w:w="0" w:type="dxa"/>
            <w:right w:w="108" w:type="dxa"/>
          </w:tblCellMar>
        </w:tblPrEx>
        <w:trPr>
          <w:trHeight w:val="480" w:hRule="atLeast"/>
          <w:tblHeader/>
          <w:jc w:val="center"/>
        </w:trPr>
        <w:tc>
          <w:tcPr>
            <w:tcW w:w="1251" w:type="pct"/>
            <w:tcBorders>
              <w:top w:val="nil"/>
              <w:left w:val="nil"/>
              <w:bottom w:val="nil"/>
              <w:right w:val="single" w:color="FFFFFF" w:sz="12" w:space="0"/>
            </w:tcBorders>
            <w:shd w:val="clear" w:color="000000" w:fill="2350A0"/>
            <w:vAlign w:val="center"/>
          </w:tcPr>
          <w:p>
            <w:pPr>
              <w:widowControl/>
              <w:spacing w:line="380" w:lineRule="exact"/>
              <w:jc w:val="center"/>
              <w:rPr>
                <w:b/>
                <w:bCs/>
                <w:color w:val="FFFFFF" w:themeColor="background1"/>
                <w:kern w:val="0"/>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学院名称</w:t>
            </w:r>
          </w:p>
        </w:tc>
        <w:tc>
          <w:tcPr>
            <w:tcW w:w="702"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实际毕业生人数（人）</w:t>
            </w:r>
          </w:p>
        </w:tc>
        <w:tc>
          <w:tcPr>
            <w:tcW w:w="702"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回收问卷数（份）</w:t>
            </w:r>
          </w:p>
        </w:tc>
        <w:tc>
          <w:tcPr>
            <w:tcW w:w="702"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实际毕业生分布（%）</w:t>
            </w:r>
          </w:p>
        </w:tc>
        <w:tc>
          <w:tcPr>
            <w:tcW w:w="548"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样本数分布（%）</w:t>
            </w:r>
          </w:p>
        </w:tc>
        <w:tc>
          <w:tcPr>
            <w:tcW w:w="548"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样本比例（%）</w:t>
            </w:r>
          </w:p>
        </w:tc>
        <w:tc>
          <w:tcPr>
            <w:tcW w:w="547" w:type="pct"/>
            <w:tcBorders>
              <w:top w:val="nil"/>
              <w:left w:val="nil"/>
              <w:bottom w:val="nil"/>
              <w:right w:val="single" w:color="FFFFFF" w:sz="12" w:space="0"/>
            </w:tcBorders>
            <w:shd w:val="clear" w:color="000000" w:fill="2350A0"/>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备注</w:t>
            </w:r>
          </w:p>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（排名）</w:t>
            </w:r>
          </w:p>
        </w:tc>
      </w:tr>
      <w:tr>
        <w:tblPrEx>
          <w:tblCellMar>
            <w:top w:w="0" w:type="dxa"/>
            <w:left w:w="108" w:type="dxa"/>
            <w:bottom w:w="0" w:type="dxa"/>
            <w:right w:w="108" w:type="dxa"/>
          </w:tblCellMar>
        </w:tblPrEx>
        <w:trPr>
          <w:trHeight w:val="270" w:hRule="atLeast"/>
          <w:jc w:val="center"/>
        </w:trPr>
        <w:tc>
          <w:tcPr>
            <w:tcW w:w="1251" w:type="pct"/>
            <w:tcBorders>
              <w:top w:val="nil"/>
              <w:left w:val="nil"/>
              <w:bottom w:val="nil"/>
              <w:right w:val="nil"/>
            </w:tcBorders>
            <w:shd w:val="clear" w:color="000000" w:fill="FFFFFF"/>
            <w:vAlign w:val="center"/>
          </w:tcPr>
          <w:p>
            <w:pPr>
              <w:spacing w:line="380" w:lineRule="exact"/>
              <w:jc w:val="left"/>
              <w:rPr>
                <w:b/>
                <w:bCs/>
                <w:sz w:val="20"/>
                <w:szCs w:val="20"/>
              </w:rPr>
            </w:pPr>
            <w:r>
              <w:rPr>
                <w:rFonts w:hint="eastAsia"/>
                <w:b/>
                <w:bCs/>
                <w:sz w:val="20"/>
                <w:szCs w:val="20"/>
              </w:rPr>
              <w:t>总计</w:t>
            </w:r>
          </w:p>
        </w:tc>
        <w:tc>
          <w:tcPr>
            <w:tcW w:w="702"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2235</w:t>
            </w:r>
          </w:p>
        </w:tc>
        <w:tc>
          <w:tcPr>
            <w:tcW w:w="702"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765</w:t>
            </w:r>
          </w:p>
        </w:tc>
        <w:tc>
          <w:tcPr>
            <w:tcW w:w="702"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w:t>
            </w:r>
          </w:p>
        </w:tc>
        <w:tc>
          <w:tcPr>
            <w:tcW w:w="548"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w:t>
            </w:r>
          </w:p>
        </w:tc>
        <w:tc>
          <w:tcPr>
            <w:tcW w:w="548" w:type="pct"/>
            <w:tcBorders>
              <w:top w:val="nil"/>
              <w:left w:val="nil"/>
              <w:bottom w:val="nil"/>
              <w:right w:val="nil"/>
            </w:tcBorders>
            <w:shd w:val="clear" w:color="000000" w:fill="FFFFFF"/>
          </w:tcPr>
          <w:p>
            <w:pPr>
              <w:spacing w:line="380" w:lineRule="exact"/>
              <w:jc w:val="center"/>
              <w:rPr>
                <w:b/>
                <w:bCs/>
                <w:sz w:val="20"/>
                <w:szCs w:val="20"/>
              </w:rPr>
            </w:pPr>
            <w:r>
              <w:rPr>
                <w:b/>
                <w:bCs/>
                <w:sz w:val="20"/>
                <w:szCs w:val="20"/>
              </w:rPr>
              <w:t>34.2</w:t>
            </w:r>
          </w:p>
        </w:tc>
        <w:tc>
          <w:tcPr>
            <w:tcW w:w="547" w:type="pct"/>
            <w:tcBorders>
              <w:top w:val="nil"/>
              <w:left w:val="nil"/>
              <w:bottom w:val="nil"/>
              <w:right w:val="nil"/>
            </w:tcBorders>
            <w:shd w:val="clear" w:color="000000" w:fill="FFFFFF"/>
          </w:tcPr>
          <w:p>
            <w:pPr>
              <w:spacing w:line="380" w:lineRule="exact"/>
              <w:jc w:val="center"/>
              <w:rPr>
                <w:b/>
                <w:bCs/>
                <w:sz w:val="20"/>
                <w:szCs w:val="20"/>
              </w:rPr>
            </w:pPr>
          </w:p>
        </w:tc>
      </w:tr>
      <w:tr>
        <w:tblPrEx>
          <w:tblCellMar>
            <w:top w:w="0" w:type="dxa"/>
            <w:left w:w="108" w:type="dxa"/>
            <w:bottom w:w="0" w:type="dxa"/>
            <w:right w:w="108" w:type="dxa"/>
          </w:tblCellMar>
        </w:tblPrEx>
        <w:trPr>
          <w:trHeight w:val="270" w:hRule="atLeast"/>
          <w:jc w:val="center"/>
        </w:trPr>
        <w:tc>
          <w:tcPr>
            <w:tcW w:w="1251" w:type="pct"/>
            <w:tcBorders>
              <w:top w:val="nil"/>
              <w:left w:val="nil"/>
              <w:bottom w:val="nil"/>
              <w:right w:val="nil"/>
            </w:tcBorders>
            <w:shd w:val="clear" w:color="auto" w:fill="B6DDE8"/>
          </w:tcPr>
          <w:p>
            <w:pPr>
              <w:spacing w:line="380" w:lineRule="exact"/>
              <w:jc w:val="left"/>
              <w:rPr>
                <w:sz w:val="20"/>
                <w:szCs w:val="20"/>
              </w:rPr>
            </w:pPr>
            <w:r>
              <w:rPr>
                <w:rFonts w:hint="eastAsia"/>
                <w:sz w:val="20"/>
                <w:szCs w:val="20"/>
              </w:rPr>
              <w:t>数学与信息工程学院</w:t>
            </w:r>
          </w:p>
        </w:tc>
        <w:tc>
          <w:tcPr>
            <w:tcW w:w="702"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193</w:t>
            </w:r>
          </w:p>
        </w:tc>
        <w:tc>
          <w:tcPr>
            <w:tcW w:w="702"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63</w:t>
            </w:r>
          </w:p>
        </w:tc>
        <w:tc>
          <w:tcPr>
            <w:tcW w:w="702"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8.6</w:t>
            </w:r>
          </w:p>
        </w:tc>
        <w:tc>
          <w:tcPr>
            <w:tcW w:w="548"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8.2</w:t>
            </w:r>
          </w:p>
        </w:tc>
        <w:tc>
          <w:tcPr>
            <w:tcW w:w="548" w:type="pct"/>
            <w:tcBorders>
              <w:top w:val="nil"/>
              <w:left w:val="nil"/>
              <w:bottom w:val="nil"/>
              <w:right w:val="nil"/>
            </w:tcBorders>
            <w:shd w:val="clear" w:color="auto" w:fill="B6DDE8"/>
          </w:tcPr>
          <w:p>
            <w:pPr>
              <w:spacing w:line="380" w:lineRule="exact"/>
              <w:jc w:val="center"/>
              <w:rPr>
                <w:sz w:val="20"/>
                <w:szCs w:val="20"/>
              </w:rPr>
            </w:pPr>
            <w:r>
              <w:rPr>
                <w:rFonts w:cs="Calibri"/>
                <w:sz w:val="20"/>
                <w:szCs w:val="20"/>
              </w:rPr>
              <w:t>32.6</w:t>
            </w:r>
          </w:p>
        </w:tc>
        <w:tc>
          <w:tcPr>
            <w:tcW w:w="547" w:type="pct"/>
            <w:tcBorders>
              <w:top w:val="nil"/>
              <w:left w:val="nil"/>
              <w:bottom w:val="nil"/>
              <w:right w:val="nil"/>
            </w:tcBorders>
            <w:shd w:val="clear" w:color="auto" w:fill="B6DDE8"/>
          </w:tcPr>
          <w:p>
            <w:pPr>
              <w:spacing w:line="380" w:lineRule="exact"/>
              <w:jc w:val="center"/>
              <w:rPr>
                <w:sz w:val="20"/>
                <w:szCs w:val="20"/>
              </w:rPr>
            </w:pPr>
            <w:r>
              <w:rPr>
                <w:sz w:val="20"/>
                <w:szCs w:val="20"/>
              </w:rPr>
              <w:t>6</w:t>
            </w:r>
            <w:r>
              <w:rPr>
                <w:rFonts w:hint="eastAsia"/>
                <w:sz w:val="20"/>
                <w:szCs w:val="20"/>
              </w:rPr>
              <w:t>/</w:t>
            </w:r>
            <w:r>
              <w:rPr>
                <w:sz w:val="20"/>
                <w:szCs w:val="20"/>
              </w:rPr>
              <w:t>8</w:t>
            </w:r>
          </w:p>
        </w:tc>
      </w:tr>
    </w:tbl>
    <w:p>
      <w:pPr>
        <w:rPr>
          <w:vanish/>
        </w:rPr>
      </w:pPr>
    </w:p>
    <w:tbl>
      <w:tblPr>
        <w:tblStyle w:val="14"/>
        <w:tblpPr w:leftFromText="180" w:rightFromText="180" w:vertAnchor="text" w:horzAnchor="margin" w:tblpY="4"/>
        <w:tblW w:w="5000" w:type="pct"/>
        <w:tblInd w:w="0" w:type="dxa"/>
        <w:shd w:val="clear" w:color="auto" w:fill="C6D9F0" w:themeFill="text2" w:themeFillTint="33"/>
        <w:tblLayout w:type="autofit"/>
        <w:tblCellMar>
          <w:top w:w="0" w:type="dxa"/>
          <w:left w:w="108" w:type="dxa"/>
          <w:bottom w:w="0" w:type="dxa"/>
          <w:right w:w="108" w:type="dxa"/>
        </w:tblCellMar>
      </w:tblPr>
      <w:tblGrid>
        <w:gridCol w:w="2136"/>
        <w:gridCol w:w="1198"/>
        <w:gridCol w:w="1196"/>
        <w:gridCol w:w="1196"/>
        <w:gridCol w:w="934"/>
        <w:gridCol w:w="934"/>
        <w:gridCol w:w="928"/>
      </w:tblGrid>
      <w:tr>
        <w:tblPrEx>
          <w:shd w:val="clear" w:color="auto" w:fill="C6D9F0" w:themeFill="text2" w:themeFillTint="33"/>
          <w:tblCellMar>
            <w:top w:w="0" w:type="dxa"/>
            <w:left w:w="108" w:type="dxa"/>
            <w:bottom w:w="0" w:type="dxa"/>
            <w:right w:w="108" w:type="dxa"/>
          </w:tblCellMar>
        </w:tblPrEx>
        <w:trPr>
          <w:trHeight w:val="270" w:hRule="atLeast"/>
        </w:trPr>
        <w:tc>
          <w:tcPr>
            <w:tcW w:w="1253" w:type="pct"/>
            <w:tcBorders>
              <w:top w:val="nil"/>
              <w:left w:val="nil"/>
              <w:bottom w:val="nil"/>
              <w:right w:val="nil"/>
            </w:tcBorders>
            <w:shd w:val="clear" w:color="auto" w:fill="FFFFFF" w:themeFill="background1" w:themeFillTint="33"/>
          </w:tcPr>
          <w:p>
            <w:pPr>
              <w:spacing w:line="380" w:lineRule="exact"/>
              <w:jc w:val="left"/>
              <w:rPr>
                <w:sz w:val="20"/>
                <w:szCs w:val="20"/>
              </w:rPr>
            </w:pPr>
            <w:r>
              <w:rPr>
                <w:sz w:val="20"/>
                <w:szCs w:val="20"/>
              </w:rPr>
              <w:t>会计电算化</w:t>
            </w:r>
          </w:p>
        </w:tc>
        <w:tc>
          <w:tcPr>
            <w:tcW w:w="703"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52</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16</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2.3</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2.1</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30.8</w:t>
            </w:r>
          </w:p>
        </w:tc>
        <w:tc>
          <w:tcPr>
            <w:tcW w:w="544" w:type="pct"/>
            <w:tcBorders>
              <w:top w:val="nil"/>
              <w:left w:val="nil"/>
              <w:bottom w:val="nil"/>
              <w:right w:val="nil"/>
            </w:tcBorders>
            <w:shd w:val="clear" w:color="auto" w:fill="FFFFFF" w:themeFill="background1" w:themeFillTint="33"/>
          </w:tcPr>
          <w:p>
            <w:pPr>
              <w:spacing w:line="380" w:lineRule="exact"/>
              <w:jc w:val="center"/>
              <w:rPr>
                <w:sz w:val="20"/>
                <w:szCs w:val="20"/>
              </w:rPr>
            </w:pPr>
          </w:p>
        </w:tc>
      </w:tr>
      <w:tr>
        <w:tblPrEx>
          <w:tblCellMar>
            <w:top w:w="0" w:type="dxa"/>
            <w:left w:w="108" w:type="dxa"/>
            <w:bottom w:w="0" w:type="dxa"/>
            <w:right w:w="108" w:type="dxa"/>
          </w:tblCellMar>
        </w:tblPrEx>
        <w:trPr>
          <w:trHeight w:val="270" w:hRule="atLeast"/>
        </w:trPr>
        <w:tc>
          <w:tcPr>
            <w:tcW w:w="1253" w:type="pct"/>
            <w:tcBorders>
              <w:top w:val="nil"/>
              <w:left w:val="nil"/>
              <w:bottom w:val="nil"/>
              <w:right w:val="nil"/>
            </w:tcBorders>
            <w:shd w:val="clear" w:color="auto" w:fill="C6D9F0" w:themeFill="text2" w:themeFillTint="33"/>
          </w:tcPr>
          <w:p>
            <w:pPr>
              <w:spacing w:line="380" w:lineRule="exact"/>
              <w:jc w:val="left"/>
              <w:rPr>
                <w:sz w:val="20"/>
                <w:szCs w:val="20"/>
              </w:rPr>
            </w:pPr>
            <w:r>
              <w:rPr>
                <w:rFonts w:hint="eastAsia"/>
                <w:sz w:val="20"/>
                <w:szCs w:val="20"/>
              </w:rPr>
              <w:t>会计</w:t>
            </w:r>
            <w:r>
              <w:rPr>
                <w:sz w:val="20"/>
                <w:szCs w:val="20"/>
              </w:rPr>
              <w:t>与统计核算</w:t>
            </w:r>
          </w:p>
        </w:tc>
        <w:tc>
          <w:tcPr>
            <w:tcW w:w="703"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36</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14</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1.6</w:t>
            </w:r>
          </w:p>
        </w:tc>
        <w:tc>
          <w:tcPr>
            <w:tcW w:w="548"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1.8</w:t>
            </w:r>
          </w:p>
        </w:tc>
        <w:tc>
          <w:tcPr>
            <w:tcW w:w="548"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38.9</w:t>
            </w:r>
          </w:p>
        </w:tc>
        <w:tc>
          <w:tcPr>
            <w:tcW w:w="544" w:type="pct"/>
            <w:tcBorders>
              <w:top w:val="nil"/>
              <w:left w:val="nil"/>
              <w:bottom w:val="nil"/>
              <w:right w:val="nil"/>
            </w:tcBorders>
            <w:shd w:val="clear" w:color="auto" w:fill="C6D9F0" w:themeFill="text2" w:themeFillTint="33"/>
          </w:tcPr>
          <w:p>
            <w:pPr>
              <w:spacing w:line="380" w:lineRule="exact"/>
              <w:jc w:val="center"/>
              <w:rPr>
                <w:sz w:val="20"/>
                <w:szCs w:val="20"/>
              </w:rPr>
            </w:pPr>
          </w:p>
        </w:tc>
      </w:tr>
      <w:tr>
        <w:tblPrEx>
          <w:tblCellMar>
            <w:top w:w="0" w:type="dxa"/>
            <w:left w:w="108" w:type="dxa"/>
            <w:bottom w:w="0" w:type="dxa"/>
            <w:right w:w="108" w:type="dxa"/>
          </w:tblCellMar>
        </w:tblPrEx>
        <w:trPr>
          <w:trHeight w:val="270" w:hRule="atLeast"/>
        </w:trPr>
        <w:tc>
          <w:tcPr>
            <w:tcW w:w="1253" w:type="pct"/>
            <w:tcBorders>
              <w:top w:val="nil"/>
              <w:left w:val="nil"/>
              <w:bottom w:val="nil"/>
              <w:right w:val="nil"/>
            </w:tcBorders>
            <w:shd w:val="clear" w:color="auto" w:fill="FFFFFF" w:themeFill="background1" w:themeFillTint="33"/>
          </w:tcPr>
          <w:p>
            <w:pPr>
              <w:spacing w:line="380" w:lineRule="exact"/>
              <w:jc w:val="left"/>
              <w:rPr>
                <w:sz w:val="20"/>
                <w:szCs w:val="20"/>
              </w:rPr>
            </w:pPr>
            <w:r>
              <w:rPr>
                <w:sz w:val="20"/>
                <w:szCs w:val="20"/>
              </w:rPr>
              <w:t>计算机多媒体技术</w:t>
            </w:r>
          </w:p>
        </w:tc>
        <w:tc>
          <w:tcPr>
            <w:tcW w:w="703"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30</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11</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1.3</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1.4</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36.7</w:t>
            </w:r>
          </w:p>
        </w:tc>
        <w:tc>
          <w:tcPr>
            <w:tcW w:w="544" w:type="pct"/>
            <w:tcBorders>
              <w:top w:val="nil"/>
              <w:left w:val="nil"/>
              <w:bottom w:val="nil"/>
              <w:right w:val="nil"/>
            </w:tcBorders>
            <w:shd w:val="clear" w:color="auto" w:fill="FFFFFF" w:themeFill="background1" w:themeFillTint="33"/>
          </w:tcPr>
          <w:p>
            <w:pPr>
              <w:spacing w:line="380" w:lineRule="exact"/>
              <w:jc w:val="center"/>
              <w:rPr>
                <w:sz w:val="20"/>
                <w:szCs w:val="20"/>
              </w:rPr>
            </w:pPr>
          </w:p>
        </w:tc>
      </w:tr>
      <w:tr>
        <w:tblPrEx>
          <w:tblCellMar>
            <w:top w:w="0" w:type="dxa"/>
            <w:left w:w="108" w:type="dxa"/>
            <w:bottom w:w="0" w:type="dxa"/>
            <w:right w:w="108" w:type="dxa"/>
          </w:tblCellMar>
        </w:tblPrEx>
        <w:trPr>
          <w:trHeight w:val="270" w:hRule="atLeast"/>
        </w:trPr>
        <w:tc>
          <w:tcPr>
            <w:tcW w:w="1253" w:type="pct"/>
            <w:tcBorders>
              <w:top w:val="nil"/>
              <w:left w:val="nil"/>
              <w:bottom w:val="nil"/>
              <w:right w:val="nil"/>
            </w:tcBorders>
            <w:shd w:val="clear" w:color="auto" w:fill="C6D9F0" w:themeFill="text2" w:themeFillTint="33"/>
          </w:tcPr>
          <w:p>
            <w:pPr>
              <w:spacing w:line="380" w:lineRule="exact"/>
              <w:jc w:val="left"/>
              <w:rPr>
                <w:sz w:val="20"/>
                <w:szCs w:val="20"/>
              </w:rPr>
            </w:pPr>
            <w:r>
              <w:rPr>
                <w:sz w:val="20"/>
                <w:szCs w:val="20"/>
              </w:rPr>
              <w:t>保险实务</w:t>
            </w:r>
          </w:p>
        </w:tc>
        <w:tc>
          <w:tcPr>
            <w:tcW w:w="703"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25</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8</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1.1</w:t>
            </w:r>
          </w:p>
        </w:tc>
        <w:tc>
          <w:tcPr>
            <w:tcW w:w="548"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1.0</w:t>
            </w:r>
          </w:p>
        </w:tc>
        <w:tc>
          <w:tcPr>
            <w:tcW w:w="548"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32.0</w:t>
            </w:r>
          </w:p>
        </w:tc>
        <w:tc>
          <w:tcPr>
            <w:tcW w:w="544" w:type="pct"/>
            <w:tcBorders>
              <w:top w:val="nil"/>
              <w:left w:val="nil"/>
              <w:bottom w:val="nil"/>
              <w:right w:val="nil"/>
            </w:tcBorders>
            <w:shd w:val="clear" w:color="auto" w:fill="C6D9F0" w:themeFill="text2" w:themeFillTint="33"/>
          </w:tcPr>
          <w:p>
            <w:pPr>
              <w:spacing w:line="380" w:lineRule="exact"/>
              <w:jc w:val="center"/>
              <w:rPr>
                <w:sz w:val="20"/>
                <w:szCs w:val="20"/>
              </w:rPr>
            </w:pPr>
          </w:p>
        </w:tc>
      </w:tr>
      <w:tr>
        <w:tblPrEx>
          <w:tblCellMar>
            <w:top w:w="0" w:type="dxa"/>
            <w:left w:w="108" w:type="dxa"/>
            <w:bottom w:w="0" w:type="dxa"/>
            <w:right w:w="108" w:type="dxa"/>
          </w:tblCellMar>
        </w:tblPrEx>
        <w:trPr>
          <w:trHeight w:val="285" w:hRule="atLeast"/>
        </w:trPr>
        <w:tc>
          <w:tcPr>
            <w:tcW w:w="1253" w:type="pct"/>
            <w:tcBorders>
              <w:top w:val="nil"/>
              <w:left w:val="nil"/>
              <w:bottom w:val="nil"/>
              <w:right w:val="nil"/>
            </w:tcBorders>
            <w:shd w:val="clear" w:color="auto" w:fill="FFFFFF" w:themeFill="background1" w:themeFillTint="33"/>
          </w:tcPr>
          <w:p>
            <w:pPr>
              <w:spacing w:line="380" w:lineRule="exact"/>
              <w:jc w:val="left"/>
              <w:rPr>
                <w:sz w:val="20"/>
                <w:szCs w:val="20"/>
              </w:rPr>
            </w:pPr>
            <w:r>
              <w:rPr>
                <w:sz w:val="20"/>
                <w:szCs w:val="20"/>
              </w:rPr>
              <w:t>统计实务</w:t>
            </w:r>
          </w:p>
        </w:tc>
        <w:tc>
          <w:tcPr>
            <w:tcW w:w="703"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19</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6</w:t>
            </w:r>
          </w:p>
        </w:tc>
        <w:tc>
          <w:tcPr>
            <w:tcW w:w="702"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0.9</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0.8</w:t>
            </w:r>
          </w:p>
        </w:tc>
        <w:tc>
          <w:tcPr>
            <w:tcW w:w="548"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31.6</w:t>
            </w:r>
          </w:p>
        </w:tc>
        <w:tc>
          <w:tcPr>
            <w:tcW w:w="544" w:type="pct"/>
            <w:tcBorders>
              <w:top w:val="nil"/>
              <w:left w:val="nil"/>
              <w:bottom w:val="nil"/>
              <w:right w:val="nil"/>
            </w:tcBorders>
            <w:shd w:val="clear" w:color="auto" w:fill="FFFFFF" w:themeFill="background1" w:themeFillTint="33"/>
          </w:tcPr>
          <w:p>
            <w:pPr>
              <w:spacing w:line="380" w:lineRule="exact"/>
              <w:jc w:val="center"/>
              <w:rPr>
                <w:sz w:val="20"/>
                <w:szCs w:val="20"/>
              </w:rPr>
            </w:pPr>
          </w:p>
        </w:tc>
      </w:tr>
      <w:tr>
        <w:tblPrEx>
          <w:tblCellMar>
            <w:top w:w="0" w:type="dxa"/>
            <w:left w:w="108" w:type="dxa"/>
            <w:bottom w:w="0" w:type="dxa"/>
            <w:right w:w="108" w:type="dxa"/>
          </w:tblCellMar>
        </w:tblPrEx>
        <w:trPr>
          <w:trHeight w:val="285" w:hRule="atLeast"/>
        </w:trPr>
        <w:tc>
          <w:tcPr>
            <w:tcW w:w="1253" w:type="pct"/>
            <w:tcBorders>
              <w:top w:val="nil"/>
              <w:left w:val="nil"/>
              <w:bottom w:val="nil"/>
              <w:right w:val="nil"/>
            </w:tcBorders>
            <w:shd w:val="clear" w:color="auto" w:fill="C6D9F0" w:themeFill="text2" w:themeFillTint="33"/>
          </w:tcPr>
          <w:p>
            <w:pPr>
              <w:spacing w:line="380" w:lineRule="exact"/>
              <w:jc w:val="left"/>
              <w:rPr>
                <w:sz w:val="20"/>
                <w:szCs w:val="20"/>
              </w:rPr>
            </w:pPr>
            <w:r>
              <w:rPr>
                <w:sz w:val="20"/>
                <w:szCs w:val="20"/>
              </w:rPr>
              <w:t>动漫技术与制作</w:t>
            </w:r>
          </w:p>
        </w:tc>
        <w:tc>
          <w:tcPr>
            <w:tcW w:w="703" w:type="pct"/>
            <w:tcBorders>
              <w:top w:val="nil"/>
              <w:left w:val="nil"/>
              <w:bottom w:val="nil"/>
              <w:right w:val="nil"/>
            </w:tcBorders>
            <w:shd w:val="clear" w:color="auto" w:fill="C6D9F0" w:themeFill="text2" w:themeFillTint="33"/>
          </w:tcPr>
          <w:p>
            <w:pPr>
              <w:spacing w:line="380" w:lineRule="exact"/>
              <w:jc w:val="center"/>
              <w:rPr>
                <w:rFonts w:cs="Calibri"/>
                <w:sz w:val="20"/>
                <w:szCs w:val="20"/>
              </w:rPr>
            </w:pPr>
            <w:r>
              <w:rPr>
                <w:rFonts w:cs="Calibri"/>
                <w:sz w:val="20"/>
                <w:szCs w:val="20"/>
              </w:rPr>
              <w:t>18</w:t>
            </w:r>
          </w:p>
        </w:tc>
        <w:tc>
          <w:tcPr>
            <w:tcW w:w="702" w:type="pct"/>
            <w:tcBorders>
              <w:top w:val="nil"/>
              <w:left w:val="nil"/>
              <w:bottom w:val="nil"/>
              <w:right w:val="nil"/>
            </w:tcBorders>
            <w:shd w:val="clear" w:color="auto" w:fill="C6D9F0" w:themeFill="text2" w:themeFillTint="33"/>
          </w:tcPr>
          <w:p>
            <w:pPr>
              <w:spacing w:line="380" w:lineRule="exact"/>
              <w:jc w:val="center"/>
              <w:rPr>
                <w:rFonts w:cs="Calibri"/>
                <w:sz w:val="20"/>
                <w:szCs w:val="20"/>
              </w:rPr>
            </w:pPr>
            <w:r>
              <w:rPr>
                <w:rFonts w:cs="Calibri"/>
                <w:sz w:val="20"/>
                <w:szCs w:val="20"/>
              </w:rPr>
              <w:t>1</w:t>
            </w:r>
          </w:p>
        </w:tc>
        <w:tc>
          <w:tcPr>
            <w:tcW w:w="702" w:type="pct"/>
            <w:tcBorders>
              <w:top w:val="nil"/>
              <w:left w:val="nil"/>
              <w:bottom w:val="nil"/>
              <w:right w:val="nil"/>
            </w:tcBorders>
            <w:shd w:val="clear" w:color="auto" w:fill="C6D9F0" w:themeFill="text2" w:themeFillTint="33"/>
          </w:tcPr>
          <w:p>
            <w:pPr>
              <w:spacing w:line="380" w:lineRule="exact"/>
              <w:jc w:val="center"/>
              <w:rPr>
                <w:rFonts w:cs="Calibri"/>
                <w:sz w:val="20"/>
                <w:szCs w:val="20"/>
              </w:rPr>
            </w:pPr>
            <w:r>
              <w:rPr>
                <w:rFonts w:cs="Calibri"/>
                <w:sz w:val="20"/>
                <w:szCs w:val="20"/>
              </w:rPr>
              <w:t>0.8</w:t>
            </w:r>
          </w:p>
        </w:tc>
        <w:tc>
          <w:tcPr>
            <w:tcW w:w="548" w:type="pct"/>
            <w:tcBorders>
              <w:top w:val="nil"/>
              <w:left w:val="nil"/>
              <w:bottom w:val="nil"/>
              <w:right w:val="nil"/>
            </w:tcBorders>
            <w:shd w:val="clear" w:color="auto" w:fill="C6D9F0" w:themeFill="text2" w:themeFillTint="33"/>
          </w:tcPr>
          <w:p>
            <w:pPr>
              <w:spacing w:line="380" w:lineRule="exact"/>
              <w:jc w:val="center"/>
              <w:rPr>
                <w:rFonts w:cs="Calibri"/>
                <w:sz w:val="20"/>
                <w:szCs w:val="20"/>
              </w:rPr>
            </w:pPr>
            <w:r>
              <w:rPr>
                <w:rFonts w:cs="Calibri"/>
                <w:sz w:val="20"/>
                <w:szCs w:val="20"/>
              </w:rPr>
              <w:t>0.1</w:t>
            </w:r>
          </w:p>
        </w:tc>
        <w:tc>
          <w:tcPr>
            <w:tcW w:w="548" w:type="pct"/>
            <w:tcBorders>
              <w:top w:val="nil"/>
              <w:left w:val="nil"/>
              <w:bottom w:val="nil"/>
              <w:right w:val="nil"/>
            </w:tcBorders>
            <w:shd w:val="clear" w:color="auto" w:fill="C6D9F0" w:themeFill="text2" w:themeFillTint="33"/>
          </w:tcPr>
          <w:p>
            <w:pPr>
              <w:spacing w:line="380" w:lineRule="exact"/>
              <w:jc w:val="center"/>
              <w:rPr>
                <w:rFonts w:cs="Calibri"/>
                <w:sz w:val="20"/>
                <w:szCs w:val="20"/>
              </w:rPr>
            </w:pPr>
            <w:r>
              <w:rPr>
                <w:rFonts w:cs="Calibri"/>
                <w:sz w:val="20"/>
                <w:szCs w:val="20"/>
              </w:rPr>
              <w:t>5.6</w:t>
            </w:r>
          </w:p>
        </w:tc>
        <w:tc>
          <w:tcPr>
            <w:tcW w:w="544" w:type="pct"/>
            <w:tcBorders>
              <w:top w:val="nil"/>
              <w:left w:val="nil"/>
              <w:bottom w:val="nil"/>
              <w:right w:val="nil"/>
            </w:tcBorders>
            <w:shd w:val="clear" w:color="auto" w:fill="C6D9F0" w:themeFill="text2" w:themeFillTint="33"/>
          </w:tcPr>
          <w:p>
            <w:pPr>
              <w:spacing w:line="380" w:lineRule="exact"/>
              <w:jc w:val="center"/>
              <w:rPr>
                <w:sz w:val="20"/>
                <w:szCs w:val="20"/>
              </w:rPr>
            </w:pPr>
          </w:p>
        </w:tc>
      </w:tr>
      <w:tr>
        <w:tblPrEx>
          <w:tblCellMar>
            <w:top w:w="0" w:type="dxa"/>
            <w:left w:w="108" w:type="dxa"/>
            <w:bottom w:w="0" w:type="dxa"/>
            <w:right w:w="108" w:type="dxa"/>
          </w:tblCellMar>
        </w:tblPrEx>
        <w:trPr>
          <w:trHeight w:val="285" w:hRule="atLeast"/>
        </w:trPr>
        <w:tc>
          <w:tcPr>
            <w:tcW w:w="1253" w:type="pct"/>
            <w:tcBorders>
              <w:top w:val="nil"/>
              <w:left w:val="nil"/>
              <w:bottom w:val="single" w:color="57B8E7" w:sz="12" w:space="0"/>
              <w:right w:val="nil"/>
            </w:tcBorders>
            <w:shd w:val="clear" w:color="auto" w:fill="FFFFFF" w:themeFill="background1" w:themeFillTint="33"/>
          </w:tcPr>
          <w:p>
            <w:pPr>
              <w:spacing w:line="380" w:lineRule="exact"/>
              <w:jc w:val="left"/>
              <w:rPr>
                <w:sz w:val="20"/>
                <w:szCs w:val="20"/>
              </w:rPr>
            </w:pPr>
            <w:r>
              <w:rPr>
                <w:sz w:val="20"/>
                <w:szCs w:val="20"/>
              </w:rPr>
              <w:t>计算机信息管理</w:t>
            </w:r>
          </w:p>
        </w:tc>
        <w:tc>
          <w:tcPr>
            <w:tcW w:w="703" w:type="pct"/>
            <w:tcBorders>
              <w:top w:val="nil"/>
              <w:left w:val="nil"/>
              <w:bottom w:val="single" w:color="57B8E7" w:sz="12" w:space="0"/>
              <w:right w:val="nil"/>
            </w:tcBorders>
            <w:shd w:val="clear" w:color="auto" w:fill="FFFFFF" w:themeFill="background1" w:themeFillTint="33"/>
          </w:tcPr>
          <w:p>
            <w:pPr>
              <w:spacing w:line="380" w:lineRule="exact"/>
              <w:jc w:val="center"/>
              <w:rPr>
                <w:rFonts w:cs="Calibri"/>
                <w:sz w:val="20"/>
                <w:szCs w:val="20"/>
              </w:rPr>
            </w:pPr>
            <w:r>
              <w:rPr>
                <w:rFonts w:cs="Calibri"/>
                <w:sz w:val="20"/>
                <w:szCs w:val="20"/>
              </w:rPr>
              <w:t>13</w:t>
            </w:r>
          </w:p>
        </w:tc>
        <w:tc>
          <w:tcPr>
            <w:tcW w:w="702" w:type="pct"/>
            <w:tcBorders>
              <w:top w:val="nil"/>
              <w:left w:val="nil"/>
              <w:bottom w:val="single" w:color="57B8E7" w:sz="12" w:space="0"/>
              <w:right w:val="nil"/>
            </w:tcBorders>
            <w:shd w:val="clear" w:color="auto" w:fill="FFFFFF" w:themeFill="background1" w:themeFillTint="33"/>
          </w:tcPr>
          <w:p>
            <w:pPr>
              <w:spacing w:line="380" w:lineRule="exact"/>
              <w:jc w:val="center"/>
              <w:rPr>
                <w:rFonts w:cs="Calibri"/>
                <w:sz w:val="20"/>
                <w:szCs w:val="20"/>
              </w:rPr>
            </w:pPr>
            <w:r>
              <w:rPr>
                <w:rFonts w:cs="Calibri"/>
                <w:sz w:val="20"/>
                <w:szCs w:val="20"/>
              </w:rPr>
              <w:t>7</w:t>
            </w:r>
          </w:p>
        </w:tc>
        <w:tc>
          <w:tcPr>
            <w:tcW w:w="702" w:type="pct"/>
            <w:tcBorders>
              <w:top w:val="nil"/>
              <w:left w:val="nil"/>
              <w:bottom w:val="single" w:color="57B8E7" w:sz="12" w:space="0"/>
              <w:right w:val="nil"/>
            </w:tcBorders>
            <w:shd w:val="clear" w:color="auto" w:fill="FFFFFF" w:themeFill="background1" w:themeFillTint="33"/>
          </w:tcPr>
          <w:p>
            <w:pPr>
              <w:spacing w:line="380" w:lineRule="exact"/>
              <w:jc w:val="center"/>
              <w:rPr>
                <w:rFonts w:cs="Calibri"/>
                <w:sz w:val="20"/>
                <w:szCs w:val="20"/>
              </w:rPr>
            </w:pPr>
            <w:r>
              <w:rPr>
                <w:rFonts w:cs="Calibri"/>
                <w:sz w:val="20"/>
                <w:szCs w:val="20"/>
              </w:rPr>
              <w:t>0.6</w:t>
            </w:r>
          </w:p>
        </w:tc>
        <w:tc>
          <w:tcPr>
            <w:tcW w:w="548" w:type="pct"/>
            <w:tcBorders>
              <w:top w:val="nil"/>
              <w:left w:val="nil"/>
              <w:bottom w:val="single" w:color="57B8E7" w:sz="12" w:space="0"/>
              <w:right w:val="nil"/>
            </w:tcBorders>
            <w:shd w:val="clear" w:color="auto" w:fill="FFFFFF" w:themeFill="background1" w:themeFillTint="33"/>
          </w:tcPr>
          <w:p>
            <w:pPr>
              <w:spacing w:line="380" w:lineRule="exact"/>
              <w:jc w:val="center"/>
              <w:rPr>
                <w:rFonts w:cs="Calibri"/>
                <w:sz w:val="20"/>
                <w:szCs w:val="20"/>
              </w:rPr>
            </w:pPr>
            <w:r>
              <w:rPr>
                <w:rFonts w:cs="Calibri"/>
                <w:sz w:val="20"/>
                <w:szCs w:val="20"/>
              </w:rPr>
              <w:t>0.9</w:t>
            </w:r>
          </w:p>
        </w:tc>
        <w:tc>
          <w:tcPr>
            <w:tcW w:w="548" w:type="pct"/>
            <w:tcBorders>
              <w:top w:val="nil"/>
              <w:left w:val="nil"/>
              <w:bottom w:val="single" w:color="57B8E7" w:sz="12" w:space="0"/>
              <w:right w:val="nil"/>
            </w:tcBorders>
            <w:shd w:val="clear" w:color="auto" w:fill="FFFFFF" w:themeFill="background1" w:themeFillTint="33"/>
          </w:tcPr>
          <w:p>
            <w:pPr>
              <w:spacing w:line="380" w:lineRule="exact"/>
              <w:jc w:val="center"/>
              <w:rPr>
                <w:rFonts w:cs="Calibri"/>
                <w:sz w:val="20"/>
                <w:szCs w:val="20"/>
              </w:rPr>
            </w:pPr>
            <w:r>
              <w:rPr>
                <w:rFonts w:cs="Calibri"/>
                <w:sz w:val="20"/>
                <w:szCs w:val="20"/>
              </w:rPr>
              <w:t>53.8</w:t>
            </w:r>
          </w:p>
        </w:tc>
        <w:tc>
          <w:tcPr>
            <w:tcW w:w="544"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p>
        </w:tc>
      </w:tr>
    </w:tbl>
    <w:p>
      <w:pPr>
        <w:pStyle w:val="5"/>
        <w:spacing w:line="380" w:lineRule="exact"/>
        <w:jc w:val="center"/>
        <w:rPr>
          <w:rFonts w:cs="宋体"/>
          <w:b/>
          <w:sz w:val="24"/>
          <w:szCs w:val="24"/>
          <w:lang w:val="en-US"/>
        </w:rPr>
      </w:pPr>
    </w:p>
    <w:p>
      <w:pPr>
        <w:pStyle w:val="5"/>
        <w:spacing w:line="380" w:lineRule="exact"/>
        <w:jc w:val="center"/>
        <w:rPr>
          <w:rFonts w:cs="宋体"/>
          <w:b/>
          <w:sz w:val="24"/>
          <w:szCs w:val="24"/>
        </w:rPr>
      </w:pPr>
      <w:r>
        <w:rPr>
          <w:rFonts w:cs="宋体"/>
          <w:b/>
          <w:sz w:val="24"/>
          <w:szCs w:val="24"/>
          <w:lang w:val="en-US"/>
        </w:rPr>
        <w:t>表3  2021届</w:t>
      </w:r>
      <w:r>
        <w:rPr>
          <w:rFonts w:cs="宋体"/>
          <w:b/>
          <w:sz w:val="24"/>
          <w:szCs w:val="24"/>
        </w:rPr>
        <w:t>各专业主要指标</w:t>
      </w:r>
      <w:r>
        <w:rPr>
          <w:rFonts w:hint="eastAsia" w:cs="宋体"/>
          <w:b/>
          <w:sz w:val="24"/>
          <w:szCs w:val="24"/>
        </w:rPr>
        <w:t>的</w:t>
      </w:r>
      <w:r>
        <w:rPr>
          <w:rFonts w:cs="宋体"/>
          <w:b/>
          <w:sz w:val="24"/>
          <w:szCs w:val="24"/>
        </w:rPr>
        <w:t>样本</w:t>
      </w:r>
      <w:r>
        <w:rPr>
          <w:rFonts w:hint="eastAsia" w:cs="宋体"/>
          <w:b/>
          <w:sz w:val="24"/>
          <w:szCs w:val="24"/>
        </w:rPr>
        <w:t>数情况（</w:t>
      </w:r>
      <w:r>
        <w:rPr>
          <w:rFonts w:cs="Calibri"/>
          <w:b/>
          <w:sz w:val="18"/>
          <w:szCs w:val="18"/>
        </w:rPr>
        <w:t>单位：</w:t>
      </w:r>
      <w:r>
        <w:rPr>
          <w:rFonts w:hint="eastAsia" w:cs="Calibri"/>
          <w:b/>
          <w:sz w:val="18"/>
          <w:szCs w:val="18"/>
        </w:rPr>
        <w:t>个）</w:t>
      </w:r>
    </w:p>
    <w:tbl>
      <w:tblPr>
        <w:tblStyle w:val="14"/>
        <w:tblW w:w="4890" w:type="pct"/>
        <w:jc w:val="center"/>
        <w:tblLayout w:type="autofit"/>
        <w:tblCellMar>
          <w:top w:w="0" w:type="dxa"/>
          <w:left w:w="108" w:type="dxa"/>
          <w:bottom w:w="0" w:type="dxa"/>
          <w:right w:w="108" w:type="dxa"/>
        </w:tblCellMar>
      </w:tblPr>
      <w:tblGrid>
        <w:gridCol w:w="2083"/>
        <w:gridCol w:w="1170"/>
        <w:gridCol w:w="965"/>
        <w:gridCol w:w="1372"/>
        <w:gridCol w:w="1039"/>
        <w:gridCol w:w="797"/>
        <w:gridCol w:w="909"/>
      </w:tblGrid>
      <w:tr>
        <w:tblPrEx>
          <w:tblCellMar>
            <w:top w:w="0" w:type="dxa"/>
            <w:left w:w="108" w:type="dxa"/>
            <w:bottom w:w="0" w:type="dxa"/>
            <w:right w:w="108" w:type="dxa"/>
          </w:tblCellMar>
        </w:tblPrEx>
        <w:trPr>
          <w:trHeight w:val="482" w:hRule="atLeast"/>
          <w:tblHeader/>
          <w:jc w:val="center"/>
        </w:trPr>
        <w:tc>
          <w:tcPr>
            <w:tcW w:w="1250" w:type="pct"/>
            <w:tcBorders>
              <w:top w:val="nil"/>
              <w:left w:val="nil"/>
              <w:bottom w:val="nil"/>
              <w:right w:val="single" w:color="FFFFFF" w:sz="12" w:space="0"/>
            </w:tcBorders>
            <w:shd w:val="clear" w:color="000000" w:fill="2350A0"/>
            <w:vAlign w:val="center"/>
          </w:tcPr>
          <w:p>
            <w:pPr>
              <w:widowControl/>
              <w:spacing w:line="380" w:lineRule="exact"/>
              <w:jc w:val="center"/>
              <w:rPr>
                <w:b/>
                <w:bCs/>
                <w:color w:val="FFFFFF" w:themeColor="background1"/>
                <w:kern w:val="0"/>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专业名称</w:t>
            </w:r>
          </w:p>
        </w:tc>
        <w:tc>
          <w:tcPr>
            <w:tcW w:w="702"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b/>
                <w:bCs/>
                <w:color w:val="FFFFFF" w:themeColor="background1"/>
                <w:sz w:val="20"/>
                <w:szCs w:val="20"/>
                <w14:textFill>
                  <w14:solidFill>
                    <w14:schemeClr w14:val="bg1"/>
                  </w14:solidFill>
                </w14:textFill>
              </w:rPr>
              <w:t>毕业去向落实率</w:t>
            </w:r>
          </w:p>
        </w:tc>
        <w:tc>
          <w:tcPr>
            <w:tcW w:w="579"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月收入</w:t>
            </w:r>
          </w:p>
        </w:tc>
        <w:tc>
          <w:tcPr>
            <w:tcW w:w="823"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工作与专业</w:t>
            </w:r>
          </w:p>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相关度</w:t>
            </w:r>
          </w:p>
        </w:tc>
        <w:tc>
          <w:tcPr>
            <w:tcW w:w="623"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就业现状满意度</w:t>
            </w:r>
          </w:p>
        </w:tc>
        <w:tc>
          <w:tcPr>
            <w:tcW w:w="478"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离职率</w:t>
            </w:r>
          </w:p>
        </w:tc>
        <w:tc>
          <w:tcPr>
            <w:tcW w:w="545"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教学满</w:t>
            </w:r>
          </w:p>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意度</w:t>
            </w:r>
          </w:p>
        </w:tc>
      </w:tr>
      <w:tr>
        <w:tblPrEx>
          <w:tblCellMar>
            <w:top w:w="0" w:type="dxa"/>
            <w:left w:w="108" w:type="dxa"/>
            <w:bottom w:w="0" w:type="dxa"/>
            <w:right w:w="108" w:type="dxa"/>
          </w:tblCellMar>
        </w:tblPrEx>
        <w:trPr>
          <w:trHeight w:val="271" w:hRule="atLeast"/>
          <w:jc w:val="center"/>
        </w:trPr>
        <w:tc>
          <w:tcPr>
            <w:tcW w:w="1250" w:type="pct"/>
            <w:tcBorders>
              <w:top w:val="nil"/>
              <w:left w:val="nil"/>
              <w:bottom w:val="nil"/>
              <w:right w:val="nil"/>
            </w:tcBorders>
            <w:shd w:val="clear" w:color="000000" w:fill="FFFFFF"/>
          </w:tcPr>
          <w:p>
            <w:pPr>
              <w:spacing w:line="380" w:lineRule="exact"/>
              <w:jc w:val="left"/>
              <w:rPr>
                <w:sz w:val="20"/>
                <w:szCs w:val="20"/>
              </w:rPr>
            </w:pPr>
            <w:r>
              <w:rPr>
                <w:rFonts w:hint="eastAsia"/>
                <w:sz w:val="20"/>
                <w:szCs w:val="20"/>
              </w:rPr>
              <w:t>数学教育</w:t>
            </w:r>
          </w:p>
        </w:tc>
        <w:tc>
          <w:tcPr>
            <w:tcW w:w="702"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49</w:t>
            </w:r>
          </w:p>
        </w:tc>
        <w:tc>
          <w:tcPr>
            <w:tcW w:w="579"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12</w:t>
            </w:r>
          </w:p>
        </w:tc>
        <w:tc>
          <w:tcPr>
            <w:tcW w:w="823"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20</w:t>
            </w:r>
          </w:p>
        </w:tc>
        <w:tc>
          <w:tcPr>
            <w:tcW w:w="623"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11</w:t>
            </w:r>
          </w:p>
        </w:tc>
        <w:tc>
          <w:tcPr>
            <w:tcW w:w="478"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14</w:t>
            </w:r>
          </w:p>
        </w:tc>
        <w:tc>
          <w:tcPr>
            <w:tcW w:w="545"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29</w:t>
            </w:r>
          </w:p>
        </w:tc>
      </w:tr>
      <w:tr>
        <w:tblPrEx>
          <w:tblCellMar>
            <w:top w:w="0" w:type="dxa"/>
            <w:left w:w="108" w:type="dxa"/>
            <w:bottom w:w="0" w:type="dxa"/>
            <w:right w:w="108" w:type="dxa"/>
          </w:tblCellMar>
        </w:tblPrEx>
        <w:trPr>
          <w:trHeight w:val="271" w:hRule="atLeast"/>
          <w:jc w:val="center"/>
        </w:trPr>
        <w:tc>
          <w:tcPr>
            <w:tcW w:w="1250" w:type="pct"/>
            <w:tcBorders>
              <w:top w:val="nil"/>
              <w:left w:val="nil"/>
              <w:bottom w:val="nil"/>
              <w:right w:val="nil"/>
            </w:tcBorders>
            <w:shd w:val="clear" w:color="auto" w:fill="C6D9F0" w:themeFill="text2" w:themeFillTint="33"/>
          </w:tcPr>
          <w:p>
            <w:pPr>
              <w:spacing w:line="380" w:lineRule="exact"/>
              <w:jc w:val="left"/>
              <w:rPr>
                <w:sz w:val="20"/>
                <w:szCs w:val="20"/>
              </w:rPr>
            </w:pPr>
            <w:r>
              <w:rPr>
                <w:rFonts w:hint="eastAsia"/>
                <w:sz w:val="20"/>
                <w:szCs w:val="20"/>
              </w:rPr>
              <w:t>会计</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38</w:t>
            </w:r>
          </w:p>
        </w:tc>
        <w:tc>
          <w:tcPr>
            <w:tcW w:w="579"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21</w:t>
            </w:r>
          </w:p>
        </w:tc>
        <w:tc>
          <w:tcPr>
            <w:tcW w:w="823"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24</w:t>
            </w:r>
          </w:p>
        </w:tc>
        <w:tc>
          <w:tcPr>
            <w:tcW w:w="623"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18</w:t>
            </w:r>
          </w:p>
        </w:tc>
        <w:tc>
          <w:tcPr>
            <w:tcW w:w="478"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21</w:t>
            </w:r>
          </w:p>
        </w:tc>
        <w:tc>
          <w:tcPr>
            <w:tcW w:w="545"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26</w:t>
            </w:r>
          </w:p>
        </w:tc>
      </w:tr>
      <w:tr>
        <w:tblPrEx>
          <w:tblCellMar>
            <w:top w:w="0" w:type="dxa"/>
            <w:left w:w="108" w:type="dxa"/>
            <w:bottom w:w="0" w:type="dxa"/>
            <w:right w:w="108" w:type="dxa"/>
          </w:tblCellMar>
        </w:tblPrEx>
        <w:trPr>
          <w:trHeight w:val="271" w:hRule="atLeast"/>
          <w:jc w:val="center"/>
        </w:trPr>
        <w:tc>
          <w:tcPr>
            <w:tcW w:w="1250" w:type="pct"/>
            <w:tcBorders>
              <w:top w:val="nil"/>
              <w:left w:val="nil"/>
              <w:bottom w:val="nil"/>
              <w:right w:val="nil"/>
            </w:tcBorders>
            <w:shd w:val="clear" w:color="auto" w:fill="FFFFFF"/>
          </w:tcPr>
          <w:p>
            <w:pPr>
              <w:spacing w:line="380" w:lineRule="exact"/>
              <w:jc w:val="left"/>
              <w:rPr>
                <w:sz w:val="20"/>
                <w:szCs w:val="20"/>
              </w:rPr>
            </w:pPr>
            <w:r>
              <w:rPr>
                <w:rFonts w:hint="eastAsia"/>
                <w:sz w:val="20"/>
                <w:szCs w:val="20"/>
              </w:rPr>
              <w:t>软件技术</w:t>
            </w:r>
          </w:p>
        </w:tc>
        <w:tc>
          <w:tcPr>
            <w:tcW w:w="702" w:type="pct"/>
            <w:tcBorders>
              <w:top w:val="nil"/>
              <w:left w:val="nil"/>
              <w:bottom w:val="nil"/>
              <w:right w:val="nil"/>
            </w:tcBorders>
            <w:shd w:val="clear" w:color="auto" w:fill="FFFFFF"/>
          </w:tcPr>
          <w:p>
            <w:pPr>
              <w:spacing w:line="380" w:lineRule="exact"/>
              <w:jc w:val="center"/>
              <w:rPr>
                <w:sz w:val="20"/>
                <w:szCs w:val="20"/>
              </w:rPr>
            </w:pPr>
            <w:r>
              <w:rPr>
                <w:rFonts w:cs="Calibri"/>
                <w:sz w:val="20"/>
                <w:szCs w:val="20"/>
              </w:rPr>
              <w:t>10</w:t>
            </w:r>
          </w:p>
        </w:tc>
        <w:tc>
          <w:tcPr>
            <w:tcW w:w="579" w:type="pct"/>
            <w:tcBorders>
              <w:top w:val="nil"/>
              <w:left w:val="nil"/>
              <w:bottom w:val="nil"/>
              <w:right w:val="nil"/>
            </w:tcBorders>
            <w:shd w:val="clear" w:color="auto" w:fill="FFFFFF"/>
          </w:tcPr>
          <w:p>
            <w:pPr>
              <w:spacing w:line="380" w:lineRule="exact"/>
              <w:jc w:val="center"/>
              <w:rPr>
                <w:sz w:val="20"/>
                <w:szCs w:val="20"/>
              </w:rPr>
            </w:pPr>
            <w:r>
              <w:rPr>
                <w:rFonts w:cs="Calibri"/>
                <w:sz w:val="20"/>
                <w:szCs w:val="20"/>
              </w:rPr>
              <w:t>2</w:t>
            </w:r>
          </w:p>
        </w:tc>
        <w:tc>
          <w:tcPr>
            <w:tcW w:w="823" w:type="pct"/>
            <w:tcBorders>
              <w:top w:val="nil"/>
              <w:left w:val="nil"/>
              <w:bottom w:val="nil"/>
              <w:right w:val="nil"/>
            </w:tcBorders>
            <w:shd w:val="clear" w:color="auto" w:fill="FFFFFF"/>
          </w:tcPr>
          <w:p>
            <w:pPr>
              <w:spacing w:line="380" w:lineRule="exact"/>
              <w:jc w:val="center"/>
              <w:rPr>
                <w:sz w:val="20"/>
                <w:szCs w:val="20"/>
              </w:rPr>
            </w:pPr>
            <w:r>
              <w:rPr>
                <w:rFonts w:cs="Calibri"/>
                <w:sz w:val="20"/>
                <w:szCs w:val="20"/>
              </w:rPr>
              <w:t>3</w:t>
            </w:r>
          </w:p>
        </w:tc>
        <w:tc>
          <w:tcPr>
            <w:tcW w:w="623" w:type="pct"/>
            <w:tcBorders>
              <w:top w:val="nil"/>
              <w:left w:val="nil"/>
              <w:bottom w:val="nil"/>
              <w:right w:val="nil"/>
            </w:tcBorders>
            <w:shd w:val="clear" w:color="auto" w:fill="FFFFFF"/>
          </w:tcPr>
          <w:p>
            <w:pPr>
              <w:spacing w:line="380" w:lineRule="exact"/>
              <w:jc w:val="center"/>
              <w:rPr>
                <w:sz w:val="20"/>
                <w:szCs w:val="20"/>
              </w:rPr>
            </w:pPr>
            <w:r>
              <w:rPr>
                <w:rFonts w:cs="Calibri"/>
                <w:sz w:val="20"/>
                <w:szCs w:val="20"/>
              </w:rPr>
              <w:t>1</w:t>
            </w:r>
          </w:p>
        </w:tc>
        <w:tc>
          <w:tcPr>
            <w:tcW w:w="478" w:type="pct"/>
            <w:tcBorders>
              <w:top w:val="nil"/>
              <w:left w:val="nil"/>
              <w:bottom w:val="nil"/>
              <w:right w:val="nil"/>
            </w:tcBorders>
            <w:shd w:val="clear" w:color="auto" w:fill="FFFFFF"/>
          </w:tcPr>
          <w:p>
            <w:pPr>
              <w:spacing w:line="380" w:lineRule="exact"/>
              <w:jc w:val="center"/>
              <w:rPr>
                <w:sz w:val="20"/>
                <w:szCs w:val="20"/>
              </w:rPr>
            </w:pPr>
            <w:r>
              <w:rPr>
                <w:rFonts w:cs="Calibri"/>
                <w:sz w:val="20"/>
                <w:szCs w:val="20"/>
              </w:rPr>
              <w:t>3</w:t>
            </w:r>
          </w:p>
        </w:tc>
        <w:tc>
          <w:tcPr>
            <w:tcW w:w="545" w:type="pct"/>
            <w:tcBorders>
              <w:top w:val="nil"/>
              <w:left w:val="nil"/>
              <w:bottom w:val="nil"/>
              <w:right w:val="nil"/>
            </w:tcBorders>
            <w:shd w:val="clear" w:color="auto" w:fill="FFFFFF"/>
          </w:tcPr>
          <w:p>
            <w:pPr>
              <w:spacing w:line="380" w:lineRule="exact"/>
              <w:jc w:val="center"/>
              <w:rPr>
                <w:sz w:val="20"/>
                <w:szCs w:val="20"/>
              </w:rPr>
            </w:pPr>
            <w:r>
              <w:rPr>
                <w:rFonts w:cs="Calibri"/>
                <w:sz w:val="20"/>
                <w:szCs w:val="20"/>
              </w:rPr>
              <w:t>4</w:t>
            </w:r>
          </w:p>
        </w:tc>
      </w:tr>
      <w:tr>
        <w:tblPrEx>
          <w:tblCellMar>
            <w:top w:w="0" w:type="dxa"/>
            <w:left w:w="108" w:type="dxa"/>
            <w:bottom w:w="0" w:type="dxa"/>
            <w:right w:w="108" w:type="dxa"/>
          </w:tblCellMar>
        </w:tblPrEx>
        <w:trPr>
          <w:trHeight w:val="271" w:hRule="atLeast"/>
          <w:jc w:val="center"/>
        </w:trPr>
        <w:tc>
          <w:tcPr>
            <w:tcW w:w="1250" w:type="pct"/>
            <w:tcBorders>
              <w:top w:val="nil"/>
              <w:left w:val="nil"/>
              <w:bottom w:val="nil"/>
              <w:right w:val="nil"/>
            </w:tcBorders>
            <w:shd w:val="clear" w:color="auto" w:fill="C6D9F0" w:themeFill="text2" w:themeFillTint="33"/>
          </w:tcPr>
          <w:p>
            <w:pPr>
              <w:spacing w:line="380" w:lineRule="exact"/>
              <w:jc w:val="left"/>
              <w:rPr>
                <w:sz w:val="20"/>
                <w:szCs w:val="20"/>
              </w:rPr>
            </w:pPr>
            <w:r>
              <w:rPr>
                <w:rFonts w:hint="eastAsia"/>
                <w:sz w:val="20"/>
                <w:szCs w:val="20"/>
              </w:rPr>
              <w:t>大数据技术与应用</w:t>
            </w:r>
          </w:p>
        </w:tc>
        <w:tc>
          <w:tcPr>
            <w:tcW w:w="702"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9</w:t>
            </w:r>
          </w:p>
        </w:tc>
        <w:tc>
          <w:tcPr>
            <w:tcW w:w="579"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2</w:t>
            </w:r>
          </w:p>
        </w:tc>
        <w:tc>
          <w:tcPr>
            <w:tcW w:w="823"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2</w:t>
            </w:r>
          </w:p>
        </w:tc>
        <w:tc>
          <w:tcPr>
            <w:tcW w:w="623"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1</w:t>
            </w:r>
          </w:p>
        </w:tc>
        <w:tc>
          <w:tcPr>
            <w:tcW w:w="478"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2</w:t>
            </w:r>
          </w:p>
        </w:tc>
        <w:tc>
          <w:tcPr>
            <w:tcW w:w="545"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6</w:t>
            </w:r>
          </w:p>
        </w:tc>
      </w:tr>
      <w:tr>
        <w:tblPrEx>
          <w:tblCellMar>
            <w:top w:w="0" w:type="dxa"/>
            <w:left w:w="108" w:type="dxa"/>
            <w:bottom w:w="0" w:type="dxa"/>
            <w:right w:w="108" w:type="dxa"/>
          </w:tblCellMar>
        </w:tblPrEx>
        <w:trPr>
          <w:trHeight w:val="271" w:hRule="atLeast"/>
          <w:jc w:val="center"/>
        </w:trPr>
        <w:tc>
          <w:tcPr>
            <w:tcW w:w="1250" w:type="pct"/>
            <w:tcBorders>
              <w:top w:val="nil"/>
              <w:left w:val="nil"/>
              <w:bottom w:val="nil"/>
              <w:right w:val="nil"/>
            </w:tcBorders>
            <w:shd w:val="clear" w:color="000000" w:fill="FFFFFF"/>
          </w:tcPr>
          <w:p>
            <w:pPr>
              <w:spacing w:line="380" w:lineRule="exact"/>
              <w:jc w:val="left"/>
              <w:rPr>
                <w:sz w:val="20"/>
                <w:szCs w:val="20"/>
              </w:rPr>
            </w:pPr>
            <w:r>
              <w:rPr>
                <w:rFonts w:hint="eastAsia"/>
                <w:sz w:val="20"/>
                <w:szCs w:val="20"/>
              </w:rPr>
              <w:t>动漫制作技术</w:t>
            </w:r>
          </w:p>
        </w:tc>
        <w:tc>
          <w:tcPr>
            <w:tcW w:w="702"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6</w:t>
            </w:r>
          </w:p>
        </w:tc>
        <w:tc>
          <w:tcPr>
            <w:tcW w:w="579"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3</w:t>
            </w:r>
          </w:p>
        </w:tc>
        <w:tc>
          <w:tcPr>
            <w:tcW w:w="823"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3</w:t>
            </w:r>
          </w:p>
        </w:tc>
        <w:tc>
          <w:tcPr>
            <w:tcW w:w="623"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2</w:t>
            </w:r>
          </w:p>
        </w:tc>
        <w:tc>
          <w:tcPr>
            <w:tcW w:w="478"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2</w:t>
            </w:r>
          </w:p>
        </w:tc>
        <w:tc>
          <w:tcPr>
            <w:tcW w:w="545" w:type="pct"/>
            <w:tcBorders>
              <w:top w:val="nil"/>
              <w:left w:val="nil"/>
              <w:bottom w:val="nil"/>
              <w:right w:val="nil"/>
            </w:tcBorders>
            <w:shd w:val="clear" w:color="000000" w:fill="FFFFFF"/>
          </w:tcPr>
          <w:p>
            <w:pPr>
              <w:spacing w:line="380" w:lineRule="exact"/>
              <w:jc w:val="center"/>
              <w:rPr>
                <w:sz w:val="20"/>
                <w:szCs w:val="20"/>
              </w:rPr>
            </w:pPr>
            <w:r>
              <w:rPr>
                <w:rFonts w:cs="Calibri"/>
                <w:sz w:val="20"/>
                <w:szCs w:val="20"/>
              </w:rPr>
              <w:t>1</w:t>
            </w:r>
          </w:p>
        </w:tc>
      </w:tr>
      <w:tr>
        <w:tblPrEx>
          <w:tblCellMar>
            <w:top w:w="0" w:type="dxa"/>
            <w:left w:w="108" w:type="dxa"/>
            <w:bottom w:w="0" w:type="dxa"/>
            <w:right w:w="108" w:type="dxa"/>
          </w:tblCellMar>
        </w:tblPrEx>
        <w:trPr>
          <w:trHeight w:val="271" w:hRule="atLeast"/>
          <w:jc w:val="center"/>
        </w:trPr>
        <w:tc>
          <w:tcPr>
            <w:tcW w:w="1250" w:type="pct"/>
            <w:tcBorders>
              <w:top w:val="nil"/>
              <w:left w:val="nil"/>
              <w:bottom w:val="nil"/>
              <w:right w:val="nil"/>
            </w:tcBorders>
            <w:shd w:val="clear" w:color="auto" w:fill="B6DDE8"/>
            <w:vAlign w:val="center"/>
          </w:tcPr>
          <w:p>
            <w:pPr>
              <w:spacing w:line="380" w:lineRule="exact"/>
              <w:jc w:val="left"/>
              <w:rPr>
                <w:sz w:val="20"/>
                <w:szCs w:val="20"/>
              </w:rPr>
            </w:pPr>
            <w:r>
              <w:rPr>
                <w:rFonts w:hint="eastAsia"/>
                <w:sz w:val="20"/>
                <w:szCs w:val="20"/>
              </w:rPr>
              <w:t>合计</w:t>
            </w:r>
          </w:p>
        </w:tc>
        <w:tc>
          <w:tcPr>
            <w:tcW w:w="702" w:type="pct"/>
            <w:tcBorders>
              <w:top w:val="nil"/>
              <w:left w:val="nil"/>
              <w:bottom w:val="nil"/>
              <w:right w:val="nil"/>
            </w:tcBorders>
            <w:shd w:val="clear" w:color="auto" w:fill="B6DDE8"/>
          </w:tcPr>
          <w:p>
            <w:pPr>
              <w:spacing w:line="380" w:lineRule="exact"/>
              <w:jc w:val="center"/>
              <w:rPr>
                <w:sz w:val="20"/>
                <w:szCs w:val="20"/>
              </w:rPr>
            </w:pPr>
            <w:r>
              <w:t>112</w:t>
            </w:r>
          </w:p>
        </w:tc>
        <w:tc>
          <w:tcPr>
            <w:tcW w:w="579" w:type="pct"/>
            <w:tcBorders>
              <w:top w:val="nil"/>
              <w:left w:val="nil"/>
              <w:bottom w:val="nil"/>
              <w:right w:val="nil"/>
            </w:tcBorders>
            <w:shd w:val="clear" w:color="auto" w:fill="B6DDE8"/>
          </w:tcPr>
          <w:p>
            <w:pPr>
              <w:spacing w:line="380" w:lineRule="exact"/>
              <w:jc w:val="center"/>
              <w:rPr>
                <w:sz w:val="20"/>
                <w:szCs w:val="20"/>
              </w:rPr>
            </w:pPr>
            <w:r>
              <w:t>40</w:t>
            </w:r>
          </w:p>
        </w:tc>
        <w:tc>
          <w:tcPr>
            <w:tcW w:w="823" w:type="pct"/>
            <w:tcBorders>
              <w:top w:val="nil"/>
              <w:left w:val="nil"/>
              <w:bottom w:val="nil"/>
              <w:right w:val="nil"/>
            </w:tcBorders>
            <w:shd w:val="clear" w:color="auto" w:fill="B6DDE8"/>
          </w:tcPr>
          <w:p>
            <w:pPr>
              <w:spacing w:line="380" w:lineRule="exact"/>
              <w:jc w:val="center"/>
              <w:rPr>
                <w:sz w:val="20"/>
                <w:szCs w:val="20"/>
              </w:rPr>
            </w:pPr>
            <w:r>
              <w:t>52</w:t>
            </w:r>
          </w:p>
        </w:tc>
        <w:tc>
          <w:tcPr>
            <w:tcW w:w="623" w:type="pct"/>
            <w:tcBorders>
              <w:top w:val="nil"/>
              <w:left w:val="nil"/>
              <w:bottom w:val="nil"/>
              <w:right w:val="nil"/>
            </w:tcBorders>
            <w:shd w:val="clear" w:color="auto" w:fill="B6DDE8"/>
          </w:tcPr>
          <w:p>
            <w:pPr>
              <w:spacing w:line="380" w:lineRule="exact"/>
              <w:jc w:val="center"/>
              <w:rPr>
                <w:sz w:val="20"/>
                <w:szCs w:val="20"/>
              </w:rPr>
            </w:pPr>
            <w:r>
              <w:t>33</w:t>
            </w:r>
          </w:p>
        </w:tc>
        <w:tc>
          <w:tcPr>
            <w:tcW w:w="478" w:type="pct"/>
            <w:tcBorders>
              <w:top w:val="nil"/>
              <w:left w:val="nil"/>
              <w:bottom w:val="nil"/>
              <w:right w:val="nil"/>
            </w:tcBorders>
            <w:shd w:val="clear" w:color="auto" w:fill="B6DDE8"/>
          </w:tcPr>
          <w:p>
            <w:pPr>
              <w:spacing w:line="380" w:lineRule="exact"/>
              <w:jc w:val="center"/>
              <w:rPr>
                <w:sz w:val="20"/>
                <w:szCs w:val="20"/>
              </w:rPr>
            </w:pPr>
            <w:r>
              <w:t>42</w:t>
            </w:r>
          </w:p>
        </w:tc>
        <w:tc>
          <w:tcPr>
            <w:tcW w:w="545" w:type="pct"/>
            <w:tcBorders>
              <w:top w:val="nil"/>
              <w:left w:val="nil"/>
              <w:bottom w:val="nil"/>
              <w:right w:val="nil"/>
            </w:tcBorders>
            <w:shd w:val="clear" w:color="auto" w:fill="B6DDE8"/>
          </w:tcPr>
          <w:p>
            <w:pPr>
              <w:spacing w:line="380" w:lineRule="exact"/>
              <w:jc w:val="center"/>
              <w:rPr>
                <w:sz w:val="20"/>
                <w:szCs w:val="20"/>
              </w:rPr>
            </w:pPr>
            <w:r>
              <w:t>66</w:t>
            </w:r>
          </w:p>
        </w:tc>
      </w:tr>
    </w:tbl>
    <w:p>
      <w:pPr>
        <w:spacing w:line="360" w:lineRule="auto"/>
        <w:ind w:firstLine="480" w:firstLineChars="200"/>
        <w:rPr>
          <w:rFonts w:ascii="宋体" w:hAnsi="宋体" w:cs="宋体"/>
          <w:kern w:val="0"/>
          <w:sz w:val="24"/>
          <w:szCs w:val="24"/>
        </w:rPr>
      </w:pPr>
    </w:p>
    <w:p>
      <w:pPr>
        <w:pStyle w:val="5"/>
        <w:spacing w:line="380" w:lineRule="exact"/>
        <w:jc w:val="center"/>
        <w:rPr>
          <w:rFonts w:cs="宋体"/>
          <w:b/>
          <w:sz w:val="24"/>
          <w:szCs w:val="24"/>
        </w:rPr>
      </w:pPr>
      <w:r>
        <w:rPr>
          <w:rFonts w:cs="宋体"/>
          <w:b/>
          <w:sz w:val="24"/>
          <w:szCs w:val="24"/>
          <w:lang w:val="en-US"/>
        </w:rPr>
        <w:t>表4  2018届</w:t>
      </w:r>
      <w:r>
        <w:rPr>
          <w:rFonts w:cs="宋体"/>
          <w:b/>
          <w:sz w:val="24"/>
          <w:szCs w:val="24"/>
        </w:rPr>
        <w:t>各专业主要指标</w:t>
      </w:r>
      <w:r>
        <w:rPr>
          <w:rFonts w:hint="eastAsia" w:cs="宋体"/>
          <w:b/>
          <w:sz w:val="24"/>
          <w:szCs w:val="24"/>
        </w:rPr>
        <w:t>的</w:t>
      </w:r>
      <w:r>
        <w:rPr>
          <w:rFonts w:cs="宋体"/>
          <w:b/>
          <w:sz w:val="24"/>
          <w:szCs w:val="24"/>
        </w:rPr>
        <w:t>样本</w:t>
      </w:r>
      <w:r>
        <w:rPr>
          <w:rFonts w:hint="eastAsia" w:cs="宋体"/>
          <w:b/>
          <w:sz w:val="24"/>
          <w:szCs w:val="24"/>
        </w:rPr>
        <w:t>数情况（</w:t>
      </w:r>
      <w:r>
        <w:rPr>
          <w:rFonts w:cs="Calibri"/>
          <w:b/>
          <w:sz w:val="18"/>
          <w:szCs w:val="18"/>
        </w:rPr>
        <w:t>单位：</w:t>
      </w:r>
      <w:r>
        <w:rPr>
          <w:rFonts w:hint="eastAsia" w:cs="Calibri"/>
          <w:b/>
          <w:sz w:val="18"/>
          <w:szCs w:val="18"/>
        </w:rPr>
        <w:t>个）</w:t>
      </w:r>
    </w:p>
    <w:tbl>
      <w:tblPr>
        <w:tblStyle w:val="14"/>
        <w:tblW w:w="5000" w:type="pct"/>
        <w:jc w:val="center"/>
        <w:tblLayout w:type="autofit"/>
        <w:tblCellMar>
          <w:top w:w="0" w:type="dxa"/>
          <w:left w:w="108" w:type="dxa"/>
          <w:bottom w:w="0" w:type="dxa"/>
          <w:right w:w="108" w:type="dxa"/>
        </w:tblCellMar>
      </w:tblPr>
      <w:tblGrid>
        <w:gridCol w:w="1878"/>
        <w:gridCol w:w="643"/>
        <w:gridCol w:w="1486"/>
        <w:gridCol w:w="1234"/>
        <w:gridCol w:w="823"/>
        <w:gridCol w:w="849"/>
        <w:gridCol w:w="794"/>
        <w:gridCol w:w="815"/>
      </w:tblGrid>
      <w:tr>
        <w:tblPrEx>
          <w:tblCellMar>
            <w:top w:w="0" w:type="dxa"/>
            <w:left w:w="108" w:type="dxa"/>
            <w:bottom w:w="0" w:type="dxa"/>
            <w:right w:w="108" w:type="dxa"/>
          </w:tblCellMar>
        </w:tblPrEx>
        <w:trPr>
          <w:trHeight w:val="482" w:hRule="atLeast"/>
          <w:tblHeader/>
          <w:jc w:val="center"/>
        </w:trPr>
        <w:tc>
          <w:tcPr>
            <w:tcW w:w="1102" w:type="pct"/>
            <w:tcBorders>
              <w:top w:val="nil"/>
              <w:left w:val="nil"/>
              <w:bottom w:val="nil"/>
              <w:right w:val="single" w:color="FFFFFF" w:sz="12" w:space="0"/>
            </w:tcBorders>
            <w:shd w:val="clear" w:color="000000" w:fill="2350A0"/>
            <w:vAlign w:val="center"/>
          </w:tcPr>
          <w:p>
            <w:pPr>
              <w:widowControl/>
              <w:spacing w:line="380" w:lineRule="exact"/>
              <w:jc w:val="center"/>
              <w:rPr>
                <w:b/>
                <w:bCs/>
                <w:color w:val="FFFFFF" w:themeColor="background1"/>
                <w:kern w:val="0"/>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专业名称</w:t>
            </w:r>
          </w:p>
        </w:tc>
        <w:tc>
          <w:tcPr>
            <w:tcW w:w="377"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b/>
                <w:bCs/>
                <w:color w:val="FFFFFF" w:themeColor="background1"/>
                <w:sz w:val="20"/>
                <w:szCs w:val="20"/>
                <w14:textFill>
                  <w14:solidFill>
                    <w14:schemeClr w14:val="bg1"/>
                  </w14:solidFill>
                </w14:textFill>
              </w:rPr>
              <w:t>月收入</w:t>
            </w:r>
          </w:p>
        </w:tc>
        <w:tc>
          <w:tcPr>
            <w:tcW w:w="872"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就业现状</w:t>
            </w:r>
          </w:p>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满意度</w:t>
            </w:r>
          </w:p>
        </w:tc>
        <w:tc>
          <w:tcPr>
            <w:tcW w:w="724"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工作与专业</w:t>
            </w:r>
          </w:p>
          <w:p>
            <w:pPr>
              <w:spacing w:line="380" w:lineRule="exact"/>
              <w:jc w:val="center"/>
              <w:rPr>
                <w:b/>
                <w:bCs/>
                <w:color w:val="FFFFFF" w:themeColor="background1"/>
                <w:sz w:val="20"/>
                <w:szCs w:val="20"/>
                <w14:textFill>
                  <w14:solidFill>
                    <w14:schemeClr w14:val="bg1"/>
                  </w14:solidFill>
                </w14:textFill>
              </w:rPr>
            </w:pPr>
            <w:r>
              <w:rPr>
                <w:rFonts w:hint="eastAsia"/>
                <w:b/>
                <w:bCs/>
                <w:color w:val="FFFFFF" w:themeColor="background1"/>
                <w:sz w:val="20"/>
                <w:szCs w:val="20"/>
                <w14:textFill>
                  <w14:solidFill>
                    <w14:schemeClr w14:val="bg1"/>
                  </w14:solidFill>
                </w14:textFill>
              </w:rPr>
              <w:t>相关度</w:t>
            </w:r>
          </w:p>
        </w:tc>
        <w:tc>
          <w:tcPr>
            <w:tcW w:w="483"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b/>
                <w:bCs/>
                <w:color w:val="FFFFFF" w:themeColor="background1"/>
                <w:sz w:val="20"/>
                <w:szCs w:val="20"/>
                <w14:textFill>
                  <w14:solidFill>
                    <w14:schemeClr w14:val="bg1"/>
                  </w14:solidFill>
                </w14:textFill>
              </w:rPr>
              <w:t>职位晋升比例</w:t>
            </w:r>
          </w:p>
        </w:tc>
        <w:tc>
          <w:tcPr>
            <w:tcW w:w="498"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b/>
                <w:bCs/>
                <w:color w:val="FFFFFF" w:themeColor="background1"/>
                <w:sz w:val="20"/>
                <w:szCs w:val="20"/>
                <w14:textFill>
                  <w14:solidFill>
                    <w14:schemeClr w14:val="bg1"/>
                  </w14:solidFill>
                </w14:textFill>
              </w:rPr>
              <w:t>校友</w:t>
            </w:r>
          </w:p>
          <w:p>
            <w:pPr>
              <w:spacing w:line="380" w:lineRule="exact"/>
              <w:jc w:val="center"/>
              <w:rPr>
                <w:b/>
                <w:bCs/>
                <w:color w:val="FFFFFF" w:themeColor="background1"/>
                <w:sz w:val="20"/>
                <w:szCs w:val="20"/>
                <w14:textFill>
                  <w14:solidFill>
                    <w14:schemeClr w14:val="bg1"/>
                  </w14:solidFill>
                </w14:textFill>
              </w:rPr>
            </w:pPr>
            <w:r>
              <w:rPr>
                <w:b/>
                <w:bCs/>
                <w:color w:val="FFFFFF" w:themeColor="background1"/>
                <w:sz w:val="20"/>
                <w:szCs w:val="20"/>
                <w14:textFill>
                  <w14:solidFill>
                    <w14:schemeClr w14:val="bg1"/>
                  </w14:solidFill>
                </w14:textFill>
              </w:rPr>
              <w:t>推荐</w:t>
            </w:r>
          </w:p>
        </w:tc>
        <w:tc>
          <w:tcPr>
            <w:tcW w:w="466" w:type="pct"/>
            <w:tcBorders>
              <w:top w:val="nil"/>
              <w:left w:val="nil"/>
              <w:bottom w:val="nil"/>
              <w:right w:val="single" w:color="FFFFFF" w:sz="12" w:space="0"/>
            </w:tcBorders>
            <w:shd w:val="clear" w:color="000000" w:fill="2350A0"/>
            <w:vAlign w:val="center"/>
          </w:tcPr>
          <w:p>
            <w:pPr>
              <w:spacing w:line="380" w:lineRule="exact"/>
              <w:jc w:val="center"/>
              <w:rPr>
                <w:b/>
                <w:bCs/>
                <w:color w:val="FFFFFF" w:themeColor="background1"/>
                <w:sz w:val="20"/>
                <w:szCs w:val="20"/>
                <w14:textFill>
                  <w14:solidFill>
                    <w14:schemeClr w14:val="bg1"/>
                  </w14:solidFill>
                </w14:textFill>
              </w:rPr>
            </w:pPr>
            <w:r>
              <w:rPr>
                <w:b/>
                <w:bCs/>
                <w:color w:val="FFFFFF" w:themeColor="background1"/>
                <w:sz w:val="20"/>
                <w:szCs w:val="20"/>
                <w14:textFill>
                  <w14:solidFill>
                    <w14:schemeClr w14:val="bg1"/>
                  </w14:solidFill>
                </w14:textFill>
              </w:rPr>
              <w:t>校友关注</w:t>
            </w:r>
          </w:p>
        </w:tc>
        <w:tc>
          <w:tcPr>
            <w:tcW w:w="478" w:type="pct"/>
            <w:tcBorders>
              <w:top w:val="nil"/>
              <w:left w:val="nil"/>
              <w:bottom w:val="nil"/>
              <w:right w:val="single" w:color="FFFFFF" w:sz="12" w:space="0"/>
            </w:tcBorders>
            <w:shd w:val="clear" w:color="000000" w:fill="2350A0"/>
          </w:tcPr>
          <w:p>
            <w:pPr>
              <w:spacing w:line="380" w:lineRule="exact"/>
              <w:jc w:val="center"/>
              <w:rPr>
                <w:rFonts w:hint="eastAsia"/>
                <w:b/>
                <w:bCs/>
                <w:color w:val="FFFFFF" w:themeColor="background1"/>
                <w:sz w:val="20"/>
                <w:szCs w:val="20"/>
                <w14:textFill>
                  <w14:solidFill>
                    <w14:schemeClr w14:val="bg1"/>
                  </w14:solidFill>
                </w14:textFill>
              </w:rPr>
            </w:pPr>
            <w:r>
              <w:rPr>
                <w:b/>
                <w:bCs/>
                <w:color w:val="FFFFFF" w:themeColor="background1"/>
                <w:sz w:val="20"/>
                <w:szCs w:val="20"/>
                <w14:textFill>
                  <w14:solidFill>
                    <w14:schemeClr w14:val="bg1"/>
                  </w14:solidFill>
                </w14:textFill>
              </w:rPr>
              <w:t>校友回馈</w:t>
            </w:r>
          </w:p>
        </w:tc>
      </w:tr>
    </w:tbl>
    <w:tbl>
      <w:tblPr>
        <w:tblStyle w:val="14"/>
        <w:tblpPr w:leftFromText="180" w:rightFromText="180" w:vertAnchor="text" w:horzAnchor="margin" w:tblpY="4"/>
        <w:tblW w:w="5000" w:type="pct"/>
        <w:tblInd w:w="0" w:type="dxa"/>
        <w:shd w:val="clear" w:color="auto" w:fill="C6D9F0" w:themeFill="text2" w:themeFillTint="33"/>
        <w:tblLayout w:type="autofit"/>
        <w:tblCellMar>
          <w:top w:w="0" w:type="dxa"/>
          <w:left w:w="108" w:type="dxa"/>
          <w:bottom w:w="0" w:type="dxa"/>
          <w:right w:w="108" w:type="dxa"/>
        </w:tblCellMar>
      </w:tblPr>
      <w:tblGrid>
        <w:gridCol w:w="1929"/>
        <w:gridCol w:w="1082"/>
        <w:gridCol w:w="1079"/>
        <w:gridCol w:w="1079"/>
        <w:gridCol w:w="842"/>
        <w:gridCol w:w="842"/>
        <w:gridCol w:w="835"/>
        <w:gridCol w:w="834"/>
      </w:tblGrid>
      <w:tr>
        <w:tblPrEx>
          <w:shd w:val="clear" w:color="auto" w:fill="C6D9F0" w:themeFill="text2" w:themeFillTint="33"/>
          <w:tblCellMar>
            <w:top w:w="0" w:type="dxa"/>
            <w:left w:w="108" w:type="dxa"/>
            <w:bottom w:w="0" w:type="dxa"/>
            <w:right w:w="108" w:type="dxa"/>
          </w:tblCellMar>
        </w:tblPrEx>
        <w:trPr>
          <w:trHeight w:val="270" w:hRule="atLeast"/>
        </w:trPr>
        <w:tc>
          <w:tcPr>
            <w:tcW w:w="1132" w:type="pct"/>
            <w:tcBorders>
              <w:top w:val="nil"/>
              <w:left w:val="nil"/>
              <w:bottom w:val="nil"/>
              <w:right w:val="nil"/>
            </w:tcBorders>
            <w:shd w:val="clear" w:color="auto" w:fill="FFFFFF" w:themeFill="background1" w:themeFillTint="33"/>
          </w:tcPr>
          <w:p>
            <w:pPr>
              <w:spacing w:line="380" w:lineRule="exact"/>
              <w:jc w:val="left"/>
              <w:rPr>
                <w:sz w:val="20"/>
                <w:szCs w:val="20"/>
              </w:rPr>
            </w:pPr>
            <w:r>
              <w:rPr>
                <w:sz w:val="20"/>
                <w:szCs w:val="20"/>
              </w:rPr>
              <w:t>会计电算化</w:t>
            </w:r>
          </w:p>
        </w:tc>
        <w:tc>
          <w:tcPr>
            <w:tcW w:w="635" w:type="pct"/>
            <w:tcBorders>
              <w:top w:val="nil"/>
              <w:left w:val="nil"/>
              <w:bottom w:val="nil"/>
              <w:right w:val="nil"/>
            </w:tcBorders>
            <w:shd w:val="clear" w:color="auto" w:fill="FFFFFF" w:themeFill="background1" w:themeFillTint="33"/>
          </w:tcPr>
          <w:p>
            <w:pPr>
              <w:spacing w:line="380" w:lineRule="exact"/>
              <w:rPr>
                <w:sz w:val="20"/>
                <w:szCs w:val="20"/>
              </w:rPr>
            </w:pPr>
            <w:r>
              <w:rPr>
                <w:rFonts w:cs="Calibri"/>
                <w:sz w:val="20"/>
                <w:szCs w:val="20"/>
              </w:rPr>
              <w:t>11</w:t>
            </w:r>
          </w:p>
        </w:tc>
        <w:tc>
          <w:tcPr>
            <w:tcW w:w="633" w:type="pct"/>
            <w:tcBorders>
              <w:top w:val="nil"/>
              <w:left w:val="nil"/>
              <w:bottom w:val="nil"/>
              <w:right w:val="nil"/>
            </w:tcBorders>
            <w:shd w:val="clear" w:color="auto" w:fill="FFFFFF" w:themeFill="background1" w:themeFillTint="33"/>
          </w:tcPr>
          <w:p>
            <w:pPr>
              <w:spacing w:line="380" w:lineRule="exact"/>
              <w:rPr>
                <w:sz w:val="20"/>
                <w:szCs w:val="20"/>
              </w:rPr>
            </w:pPr>
            <w:r>
              <w:rPr>
                <w:rFonts w:cs="Calibri"/>
                <w:sz w:val="20"/>
                <w:szCs w:val="20"/>
              </w:rPr>
              <w:t>12</w:t>
            </w:r>
          </w:p>
        </w:tc>
        <w:tc>
          <w:tcPr>
            <w:tcW w:w="633"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16</w:t>
            </w:r>
          </w:p>
        </w:tc>
        <w:tc>
          <w:tcPr>
            <w:tcW w:w="494"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3</w:t>
            </w:r>
          </w:p>
        </w:tc>
        <w:tc>
          <w:tcPr>
            <w:tcW w:w="494" w:type="pct"/>
            <w:tcBorders>
              <w:top w:val="nil"/>
              <w:left w:val="nil"/>
              <w:bottom w:val="nil"/>
              <w:right w:val="nil"/>
            </w:tcBorders>
            <w:shd w:val="clear" w:color="auto" w:fill="FFFFFF" w:themeFill="background1" w:themeFillTint="33"/>
          </w:tcPr>
          <w:p>
            <w:pPr>
              <w:tabs>
                <w:tab w:val="center" w:pos="463"/>
              </w:tabs>
              <w:spacing w:line="380" w:lineRule="exact"/>
              <w:ind w:firstLine="300" w:firstLineChars="150"/>
              <w:rPr>
                <w:sz w:val="20"/>
                <w:szCs w:val="20"/>
              </w:rPr>
            </w:pPr>
            <w:r>
              <w:rPr>
                <w:rFonts w:cs="Calibri"/>
                <w:sz w:val="20"/>
                <w:szCs w:val="20"/>
              </w:rPr>
              <w:t>8</w:t>
            </w:r>
          </w:p>
        </w:tc>
        <w:tc>
          <w:tcPr>
            <w:tcW w:w="490" w:type="pct"/>
            <w:tcBorders>
              <w:top w:val="nil"/>
              <w:left w:val="nil"/>
              <w:bottom w:val="nil"/>
              <w:right w:val="nil"/>
            </w:tcBorders>
            <w:shd w:val="clear" w:color="auto" w:fill="FFFFFF" w:themeFill="background1" w:themeFillTint="33"/>
          </w:tcPr>
          <w:p>
            <w:pPr>
              <w:spacing w:line="380" w:lineRule="exact"/>
              <w:jc w:val="center"/>
              <w:rPr>
                <w:sz w:val="20"/>
                <w:szCs w:val="20"/>
              </w:rPr>
            </w:pPr>
            <w:r>
              <w:rPr>
                <w:sz w:val="20"/>
                <w:szCs w:val="20"/>
              </w:rPr>
              <w:t>8</w:t>
            </w:r>
          </w:p>
        </w:tc>
        <w:tc>
          <w:tcPr>
            <w:tcW w:w="489" w:type="pct"/>
            <w:tcBorders>
              <w:top w:val="nil"/>
              <w:left w:val="nil"/>
              <w:bottom w:val="nil"/>
              <w:right w:val="nil"/>
            </w:tcBorders>
            <w:shd w:val="clear" w:color="auto" w:fill="FFFFFF" w:themeFill="background1" w:themeFillTint="33"/>
          </w:tcPr>
          <w:p>
            <w:pPr>
              <w:spacing w:line="380" w:lineRule="exact"/>
              <w:jc w:val="center"/>
              <w:rPr>
                <w:sz w:val="20"/>
                <w:szCs w:val="20"/>
              </w:rPr>
            </w:pPr>
            <w:r>
              <w:rPr>
                <w:sz w:val="20"/>
                <w:szCs w:val="20"/>
              </w:rPr>
              <w:t>8</w:t>
            </w:r>
          </w:p>
        </w:tc>
      </w:tr>
      <w:tr>
        <w:tblPrEx>
          <w:tblCellMar>
            <w:top w:w="0" w:type="dxa"/>
            <w:left w:w="108" w:type="dxa"/>
            <w:bottom w:w="0" w:type="dxa"/>
            <w:right w:w="108" w:type="dxa"/>
          </w:tblCellMar>
        </w:tblPrEx>
        <w:trPr>
          <w:trHeight w:val="270" w:hRule="atLeast"/>
        </w:trPr>
        <w:tc>
          <w:tcPr>
            <w:tcW w:w="1132" w:type="pct"/>
            <w:tcBorders>
              <w:top w:val="nil"/>
              <w:left w:val="nil"/>
              <w:bottom w:val="nil"/>
              <w:right w:val="nil"/>
            </w:tcBorders>
            <w:shd w:val="clear" w:color="auto" w:fill="C6D9F0" w:themeFill="text2" w:themeFillTint="33"/>
          </w:tcPr>
          <w:p>
            <w:pPr>
              <w:spacing w:line="380" w:lineRule="exact"/>
              <w:jc w:val="left"/>
              <w:rPr>
                <w:sz w:val="20"/>
                <w:szCs w:val="20"/>
              </w:rPr>
            </w:pPr>
            <w:r>
              <w:rPr>
                <w:rFonts w:hint="eastAsia"/>
                <w:sz w:val="20"/>
                <w:szCs w:val="20"/>
              </w:rPr>
              <w:t>会计</w:t>
            </w:r>
            <w:r>
              <w:rPr>
                <w:sz w:val="20"/>
                <w:szCs w:val="20"/>
              </w:rPr>
              <w:t>与统计核算</w:t>
            </w:r>
          </w:p>
        </w:tc>
        <w:tc>
          <w:tcPr>
            <w:tcW w:w="635" w:type="pct"/>
            <w:tcBorders>
              <w:top w:val="nil"/>
              <w:left w:val="nil"/>
              <w:bottom w:val="nil"/>
              <w:right w:val="nil"/>
            </w:tcBorders>
            <w:shd w:val="clear" w:color="auto" w:fill="C6D9F0" w:themeFill="text2" w:themeFillTint="33"/>
          </w:tcPr>
          <w:p>
            <w:pPr>
              <w:spacing w:line="380" w:lineRule="exact"/>
              <w:rPr>
                <w:sz w:val="20"/>
                <w:szCs w:val="20"/>
              </w:rPr>
            </w:pPr>
            <w:r>
              <w:rPr>
                <w:sz w:val="20"/>
                <w:szCs w:val="20"/>
              </w:rPr>
              <w:t>9</w:t>
            </w:r>
          </w:p>
        </w:tc>
        <w:tc>
          <w:tcPr>
            <w:tcW w:w="633" w:type="pct"/>
            <w:tcBorders>
              <w:top w:val="nil"/>
              <w:left w:val="nil"/>
              <w:bottom w:val="nil"/>
              <w:right w:val="nil"/>
            </w:tcBorders>
            <w:shd w:val="clear" w:color="auto" w:fill="C6D9F0" w:themeFill="text2" w:themeFillTint="33"/>
          </w:tcPr>
          <w:p>
            <w:pPr>
              <w:spacing w:line="380" w:lineRule="exact"/>
              <w:rPr>
                <w:sz w:val="20"/>
                <w:szCs w:val="20"/>
              </w:rPr>
            </w:pPr>
            <w:r>
              <w:rPr>
                <w:sz w:val="20"/>
                <w:szCs w:val="20"/>
              </w:rPr>
              <w:t>6</w:t>
            </w:r>
          </w:p>
        </w:tc>
        <w:tc>
          <w:tcPr>
            <w:tcW w:w="633"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11</w:t>
            </w:r>
          </w:p>
        </w:tc>
        <w:tc>
          <w:tcPr>
            <w:tcW w:w="494"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1</w:t>
            </w:r>
          </w:p>
        </w:tc>
        <w:tc>
          <w:tcPr>
            <w:tcW w:w="494"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5</w:t>
            </w:r>
          </w:p>
        </w:tc>
        <w:tc>
          <w:tcPr>
            <w:tcW w:w="490"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5</w:t>
            </w:r>
          </w:p>
        </w:tc>
        <w:tc>
          <w:tcPr>
            <w:tcW w:w="489"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5</w:t>
            </w:r>
          </w:p>
        </w:tc>
      </w:tr>
      <w:tr>
        <w:tblPrEx>
          <w:tblCellMar>
            <w:top w:w="0" w:type="dxa"/>
            <w:left w:w="108" w:type="dxa"/>
            <w:bottom w:w="0" w:type="dxa"/>
            <w:right w:w="108" w:type="dxa"/>
          </w:tblCellMar>
        </w:tblPrEx>
        <w:trPr>
          <w:trHeight w:val="270" w:hRule="atLeast"/>
        </w:trPr>
        <w:tc>
          <w:tcPr>
            <w:tcW w:w="1132" w:type="pct"/>
            <w:tcBorders>
              <w:top w:val="nil"/>
              <w:left w:val="nil"/>
              <w:bottom w:val="nil"/>
              <w:right w:val="nil"/>
            </w:tcBorders>
            <w:shd w:val="clear" w:color="auto" w:fill="FFFFFF" w:themeFill="background1" w:themeFillTint="33"/>
          </w:tcPr>
          <w:p>
            <w:pPr>
              <w:spacing w:line="380" w:lineRule="exact"/>
              <w:jc w:val="left"/>
              <w:rPr>
                <w:sz w:val="20"/>
                <w:szCs w:val="20"/>
              </w:rPr>
            </w:pPr>
            <w:r>
              <w:rPr>
                <w:sz w:val="20"/>
                <w:szCs w:val="20"/>
              </w:rPr>
              <w:t>计算机多媒体技术</w:t>
            </w:r>
          </w:p>
        </w:tc>
        <w:tc>
          <w:tcPr>
            <w:tcW w:w="635" w:type="pct"/>
            <w:tcBorders>
              <w:top w:val="nil"/>
              <w:left w:val="nil"/>
              <w:bottom w:val="nil"/>
              <w:right w:val="nil"/>
            </w:tcBorders>
            <w:shd w:val="clear" w:color="auto" w:fill="FFFFFF" w:themeFill="background1" w:themeFillTint="33"/>
          </w:tcPr>
          <w:p>
            <w:pPr>
              <w:spacing w:line="380" w:lineRule="exact"/>
              <w:rPr>
                <w:sz w:val="20"/>
                <w:szCs w:val="20"/>
              </w:rPr>
            </w:pPr>
            <w:r>
              <w:rPr>
                <w:rFonts w:cs="Calibri"/>
                <w:sz w:val="20"/>
                <w:szCs w:val="20"/>
              </w:rPr>
              <w:t>9</w:t>
            </w:r>
          </w:p>
        </w:tc>
        <w:tc>
          <w:tcPr>
            <w:tcW w:w="633" w:type="pct"/>
            <w:tcBorders>
              <w:top w:val="nil"/>
              <w:left w:val="nil"/>
              <w:bottom w:val="nil"/>
              <w:right w:val="nil"/>
            </w:tcBorders>
            <w:shd w:val="clear" w:color="auto" w:fill="FFFFFF" w:themeFill="background1" w:themeFillTint="33"/>
          </w:tcPr>
          <w:p>
            <w:pPr>
              <w:spacing w:line="380" w:lineRule="exact"/>
              <w:rPr>
                <w:sz w:val="20"/>
                <w:szCs w:val="20"/>
              </w:rPr>
            </w:pPr>
            <w:r>
              <w:rPr>
                <w:rFonts w:cs="Calibri"/>
                <w:sz w:val="20"/>
                <w:szCs w:val="20"/>
              </w:rPr>
              <w:t>5</w:t>
            </w:r>
          </w:p>
        </w:tc>
        <w:tc>
          <w:tcPr>
            <w:tcW w:w="633"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9</w:t>
            </w:r>
          </w:p>
        </w:tc>
        <w:tc>
          <w:tcPr>
            <w:tcW w:w="494"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3</w:t>
            </w:r>
          </w:p>
        </w:tc>
        <w:tc>
          <w:tcPr>
            <w:tcW w:w="494"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5</w:t>
            </w:r>
          </w:p>
        </w:tc>
        <w:tc>
          <w:tcPr>
            <w:tcW w:w="490" w:type="pct"/>
            <w:tcBorders>
              <w:top w:val="nil"/>
              <w:left w:val="nil"/>
              <w:bottom w:val="nil"/>
              <w:right w:val="nil"/>
            </w:tcBorders>
            <w:shd w:val="clear" w:color="auto" w:fill="FFFFFF" w:themeFill="background1" w:themeFillTint="33"/>
          </w:tcPr>
          <w:p>
            <w:pPr>
              <w:spacing w:line="380" w:lineRule="exact"/>
              <w:jc w:val="center"/>
              <w:rPr>
                <w:sz w:val="20"/>
                <w:szCs w:val="20"/>
              </w:rPr>
            </w:pPr>
            <w:r>
              <w:rPr>
                <w:sz w:val="20"/>
                <w:szCs w:val="20"/>
              </w:rPr>
              <w:t>5</w:t>
            </w:r>
          </w:p>
        </w:tc>
        <w:tc>
          <w:tcPr>
            <w:tcW w:w="489" w:type="pct"/>
            <w:tcBorders>
              <w:top w:val="nil"/>
              <w:left w:val="nil"/>
              <w:bottom w:val="nil"/>
              <w:right w:val="nil"/>
            </w:tcBorders>
            <w:shd w:val="clear" w:color="auto" w:fill="FFFFFF" w:themeFill="background1" w:themeFillTint="33"/>
          </w:tcPr>
          <w:p>
            <w:pPr>
              <w:spacing w:line="380" w:lineRule="exact"/>
              <w:jc w:val="center"/>
              <w:rPr>
                <w:sz w:val="20"/>
                <w:szCs w:val="20"/>
              </w:rPr>
            </w:pPr>
            <w:r>
              <w:rPr>
                <w:sz w:val="20"/>
                <w:szCs w:val="20"/>
              </w:rPr>
              <w:t>5</w:t>
            </w:r>
          </w:p>
        </w:tc>
      </w:tr>
      <w:tr>
        <w:tblPrEx>
          <w:tblCellMar>
            <w:top w:w="0" w:type="dxa"/>
            <w:left w:w="108" w:type="dxa"/>
            <w:bottom w:w="0" w:type="dxa"/>
            <w:right w:w="108" w:type="dxa"/>
          </w:tblCellMar>
        </w:tblPrEx>
        <w:trPr>
          <w:trHeight w:val="270" w:hRule="atLeast"/>
        </w:trPr>
        <w:tc>
          <w:tcPr>
            <w:tcW w:w="1132" w:type="pct"/>
            <w:tcBorders>
              <w:top w:val="nil"/>
              <w:left w:val="nil"/>
              <w:bottom w:val="nil"/>
              <w:right w:val="nil"/>
            </w:tcBorders>
            <w:shd w:val="clear" w:color="auto" w:fill="C6D9F0" w:themeFill="text2" w:themeFillTint="33"/>
          </w:tcPr>
          <w:p>
            <w:pPr>
              <w:spacing w:line="380" w:lineRule="exact"/>
              <w:jc w:val="left"/>
              <w:rPr>
                <w:sz w:val="20"/>
                <w:szCs w:val="20"/>
              </w:rPr>
            </w:pPr>
            <w:r>
              <w:rPr>
                <w:sz w:val="20"/>
                <w:szCs w:val="20"/>
              </w:rPr>
              <w:t>保险实务</w:t>
            </w:r>
          </w:p>
        </w:tc>
        <w:tc>
          <w:tcPr>
            <w:tcW w:w="635" w:type="pct"/>
            <w:tcBorders>
              <w:top w:val="nil"/>
              <w:left w:val="nil"/>
              <w:bottom w:val="nil"/>
              <w:right w:val="nil"/>
            </w:tcBorders>
            <w:shd w:val="clear" w:color="auto" w:fill="C6D9F0" w:themeFill="text2" w:themeFillTint="33"/>
          </w:tcPr>
          <w:p>
            <w:pPr>
              <w:spacing w:line="380" w:lineRule="exact"/>
              <w:rPr>
                <w:sz w:val="20"/>
                <w:szCs w:val="20"/>
              </w:rPr>
            </w:pPr>
            <w:r>
              <w:rPr>
                <w:rFonts w:cs="Calibri"/>
                <w:sz w:val="20"/>
                <w:szCs w:val="20"/>
              </w:rPr>
              <w:t>6</w:t>
            </w:r>
          </w:p>
        </w:tc>
        <w:tc>
          <w:tcPr>
            <w:tcW w:w="633" w:type="pct"/>
            <w:tcBorders>
              <w:top w:val="nil"/>
              <w:left w:val="nil"/>
              <w:bottom w:val="nil"/>
              <w:right w:val="nil"/>
            </w:tcBorders>
            <w:shd w:val="clear" w:color="auto" w:fill="C6D9F0" w:themeFill="text2" w:themeFillTint="33"/>
          </w:tcPr>
          <w:p>
            <w:pPr>
              <w:spacing w:line="380" w:lineRule="exact"/>
              <w:rPr>
                <w:sz w:val="20"/>
                <w:szCs w:val="20"/>
              </w:rPr>
            </w:pPr>
            <w:r>
              <w:rPr>
                <w:rFonts w:cs="Calibri"/>
                <w:sz w:val="20"/>
                <w:szCs w:val="20"/>
              </w:rPr>
              <w:t>5</w:t>
            </w:r>
          </w:p>
        </w:tc>
        <w:tc>
          <w:tcPr>
            <w:tcW w:w="633"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8</w:t>
            </w:r>
          </w:p>
        </w:tc>
        <w:tc>
          <w:tcPr>
            <w:tcW w:w="494"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1</w:t>
            </w:r>
          </w:p>
        </w:tc>
        <w:tc>
          <w:tcPr>
            <w:tcW w:w="494" w:type="pct"/>
            <w:tcBorders>
              <w:top w:val="nil"/>
              <w:left w:val="nil"/>
              <w:bottom w:val="nil"/>
              <w:right w:val="nil"/>
            </w:tcBorders>
            <w:shd w:val="clear" w:color="auto" w:fill="C6D9F0" w:themeFill="text2" w:themeFillTint="33"/>
          </w:tcPr>
          <w:p>
            <w:pPr>
              <w:spacing w:line="380" w:lineRule="exact"/>
              <w:jc w:val="center"/>
              <w:rPr>
                <w:sz w:val="20"/>
                <w:szCs w:val="20"/>
              </w:rPr>
            </w:pPr>
            <w:r>
              <w:rPr>
                <w:rFonts w:cs="Calibri"/>
                <w:sz w:val="20"/>
                <w:szCs w:val="20"/>
              </w:rPr>
              <w:t>3</w:t>
            </w:r>
          </w:p>
        </w:tc>
        <w:tc>
          <w:tcPr>
            <w:tcW w:w="490"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3</w:t>
            </w:r>
          </w:p>
        </w:tc>
        <w:tc>
          <w:tcPr>
            <w:tcW w:w="489"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3</w:t>
            </w:r>
          </w:p>
        </w:tc>
      </w:tr>
      <w:tr>
        <w:tblPrEx>
          <w:tblCellMar>
            <w:top w:w="0" w:type="dxa"/>
            <w:left w:w="108" w:type="dxa"/>
            <w:bottom w:w="0" w:type="dxa"/>
            <w:right w:w="108" w:type="dxa"/>
          </w:tblCellMar>
        </w:tblPrEx>
        <w:trPr>
          <w:trHeight w:val="285" w:hRule="atLeast"/>
        </w:trPr>
        <w:tc>
          <w:tcPr>
            <w:tcW w:w="1132" w:type="pct"/>
            <w:tcBorders>
              <w:top w:val="nil"/>
              <w:left w:val="nil"/>
              <w:bottom w:val="nil"/>
              <w:right w:val="nil"/>
            </w:tcBorders>
            <w:shd w:val="clear" w:color="auto" w:fill="FFFFFF" w:themeFill="background1" w:themeFillTint="33"/>
          </w:tcPr>
          <w:p>
            <w:pPr>
              <w:spacing w:line="380" w:lineRule="exact"/>
              <w:jc w:val="left"/>
              <w:rPr>
                <w:sz w:val="20"/>
                <w:szCs w:val="20"/>
              </w:rPr>
            </w:pPr>
            <w:r>
              <w:rPr>
                <w:sz w:val="20"/>
                <w:szCs w:val="20"/>
              </w:rPr>
              <w:t>统计实务</w:t>
            </w:r>
          </w:p>
        </w:tc>
        <w:tc>
          <w:tcPr>
            <w:tcW w:w="635" w:type="pct"/>
            <w:tcBorders>
              <w:top w:val="nil"/>
              <w:left w:val="nil"/>
              <w:bottom w:val="nil"/>
              <w:right w:val="nil"/>
            </w:tcBorders>
            <w:shd w:val="clear" w:color="auto" w:fill="FFFFFF" w:themeFill="background1" w:themeFillTint="33"/>
          </w:tcPr>
          <w:p>
            <w:pPr>
              <w:spacing w:line="380" w:lineRule="exact"/>
              <w:rPr>
                <w:sz w:val="20"/>
                <w:szCs w:val="20"/>
              </w:rPr>
            </w:pPr>
            <w:r>
              <w:rPr>
                <w:rFonts w:cs="Calibri"/>
                <w:sz w:val="20"/>
                <w:szCs w:val="20"/>
              </w:rPr>
              <w:t>2</w:t>
            </w:r>
          </w:p>
        </w:tc>
        <w:tc>
          <w:tcPr>
            <w:tcW w:w="633" w:type="pct"/>
            <w:tcBorders>
              <w:top w:val="nil"/>
              <w:left w:val="nil"/>
              <w:bottom w:val="nil"/>
              <w:right w:val="nil"/>
            </w:tcBorders>
            <w:shd w:val="clear" w:color="auto" w:fill="FFFFFF" w:themeFill="background1" w:themeFillTint="33"/>
          </w:tcPr>
          <w:p>
            <w:pPr>
              <w:spacing w:line="380" w:lineRule="exact"/>
              <w:rPr>
                <w:sz w:val="20"/>
                <w:szCs w:val="20"/>
              </w:rPr>
            </w:pPr>
            <w:r>
              <w:rPr>
                <w:rFonts w:cs="Calibri"/>
                <w:sz w:val="20"/>
                <w:szCs w:val="20"/>
              </w:rPr>
              <w:t>3</w:t>
            </w:r>
          </w:p>
        </w:tc>
        <w:tc>
          <w:tcPr>
            <w:tcW w:w="633"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5</w:t>
            </w:r>
          </w:p>
        </w:tc>
        <w:tc>
          <w:tcPr>
            <w:tcW w:w="494"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w:t>
            </w:r>
          </w:p>
        </w:tc>
        <w:tc>
          <w:tcPr>
            <w:tcW w:w="494" w:type="pct"/>
            <w:tcBorders>
              <w:top w:val="nil"/>
              <w:left w:val="nil"/>
              <w:bottom w:val="nil"/>
              <w:right w:val="nil"/>
            </w:tcBorders>
            <w:shd w:val="clear" w:color="auto" w:fill="FFFFFF" w:themeFill="background1" w:themeFillTint="33"/>
          </w:tcPr>
          <w:p>
            <w:pPr>
              <w:spacing w:line="380" w:lineRule="exact"/>
              <w:jc w:val="center"/>
              <w:rPr>
                <w:sz w:val="20"/>
                <w:szCs w:val="20"/>
              </w:rPr>
            </w:pPr>
            <w:r>
              <w:rPr>
                <w:rFonts w:cs="Calibri"/>
                <w:sz w:val="20"/>
                <w:szCs w:val="20"/>
              </w:rPr>
              <w:t>3</w:t>
            </w:r>
          </w:p>
        </w:tc>
        <w:tc>
          <w:tcPr>
            <w:tcW w:w="490" w:type="pct"/>
            <w:tcBorders>
              <w:top w:val="nil"/>
              <w:left w:val="nil"/>
              <w:bottom w:val="nil"/>
              <w:right w:val="nil"/>
            </w:tcBorders>
            <w:shd w:val="clear" w:color="auto" w:fill="FFFFFF" w:themeFill="background1" w:themeFillTint="33"/>
          </w:tcPr>
          <w:p>
            <w:pPr>
              <w:spacing w:line="380" w:lineRule="exact"/>
              <w:jc w:val="center"/>
              <w:rPr>
                <w:sz w:val="20"/>
                <w:szCs w:val="20"/>
              </w:rPr>
            </w:pPr>
            <w:r>
              <w:rPr>
                <w:sz w:val="20"/>
                <w:szCs w:val="20"/>
              </w:rPr>
              <w:t>3</w:t>
            </w:r>
          </w:p>
        </w:tc>
        <w:tc>
          <w:tcPr>
            <w:tcW w:w="489" w:type="pct"/>
            <w:tcBorders>
              <w:top w:val="nil"/>
              <w:left w:val="nil"/>
              <w:bottom w:val="nil"/>
              <w:right w:val="nil"/>
            </w:tcBorders>
            <w:shd w:val="clear" w:color="auto" w:fill="FFFFFF" w:themeFill="background1" w:themeFillTint="33"/>
          </w:tcPr>
          <w:p>
            <w:pPr>
              <w:spacing w:line="380" w:lineRule="exact"/>
              <w:jc w:val="center"/>
              <w:rPr>
                <w:sz w:val="20"/>
                <w:szCs w:val="20"/>
              </w:rPr>
            </w:pPr>
            <w:r>
              <w:rPr>
                <w:sz w:val="20"/>
                <w:szCs w:val="20"/>
              </w:rPr>
              <w:t>3</w:t>
            </w:r>
          </w:p>
        </w:tc>
      </w:tr>
      <w:tr>
        <w:tblPrEx>
          <w:tblCellMar>
            <w:top w:w="0" w:type="dxa"/>
            <w:left w:w="108" w:type="dxa"/>
            <w:bottom w:w="0" w:type="dxa"/>
            <w:right w:w="108" w:type="dxa"/>
          </w:tblCellMar>
        </w:tblPrEx>
        <w:trPr>
          <w:trHeight w:val="285" w:hRule="atLeast"/>
        </w:trPr>
        <w:tc>
          <w:tcPr>
            <w:tcW w:w="1132" w:type="pct"/>
            <w:tcBorders>
              <w:top w:val="nil"/>
              <w:left w:val="nil"/>
              <w:bottom w:val="nil"/>
              <w:right w:val="nil"/>
            </w:tcBorders>
            <w:shd w:val="clear" w:color="auto" w:fill="C6D9F0" w:themeFill="text2" w:themeFillTint="33"/>
          </w:tcPr>
          <w:p>
            <w:pPr>
              <w:spacing w:line="380" w:lineRule="exact"/>
              <w:jc w:val="left"/>
              <w:rPr>
                <w:sz w:val="20"/>
                <w:szCs w:val="20"/>
              </w:rPr>
            </w:pPr>
            <w:r>
              <w:rPr>
                <w:sz w:val="20"/>
                <w:szCs w:val="20"/>
              </w:rPr>
              <w:t>动漫技术与制作</w:t>
            </w:r>
          </w:p>
        </w:tc>
        <w:tc>
          <w:tcPr>
            <w:tcW w:w="635" w:type="pct"/>
            <w:tcBorders>
              <w:top w:val="nil"/>
              <w:left w:val="nil"/>
              <w:bottom w:val="nil"/>
              <w:right w:val="nil"/>
            </w:tcBorders>
            <w:shd w:val="clear" w:color="auto" w:fill="C6D9F0" w:themeFill="text2" w:themeFillTint="33"/>
          </w:tcPr>
          <w:p>
            <w:pPr>
              <w:tabs>
                <w:tab w:val="left" w:pos="20"/>
                <w:tab w:val="center" w:pos="491"/>
              </w:tabs>
              <w:spacing w:line="380" w:lineRule="exact"/>
              <w:jc w:val="left"/>
              <w:rPr>
                <w:rFonts w:cs="Calibri"/>
                <w:sz w:val="20"/>
                <w:szCs w:val="20"/>
              </w:rPr>
            </w:pPr>
            <w:r>
              <w:rPr>
                <w:rFonts w:cs="Calibri"/>
                <w:sz w:val="20"/>
                <w:szCs w:val="20"/>
              </w:rPr>
              <w:tab/>
            </w:r>
            <w:r>
              <w:rPr>
                <w:rFonts w:cs="Calibri"/>
                <w:sz w:val="20"/>
                <w:szCs w:val="20"/>
              </w:rPr>
              <w:t>\</w:t>
            </w:r>
          </w:p>
        </w:tc>
        <w:tc>
          <w:tcPr>
            <w:tcW w:w="633" w:type="pct"/>
            <w:tcBorders>
              <w:top w:val="nil"/>
              <w:left w:val="nil"/>
              <w:bottom w:val="nil"/>
              <w:right w:val="nil"/>
            </w:tcBorders>
            <w:shd w:val="clear" w:color="auto" w:fill="C6D9F0" w:themeFill="text2" w:themeFillTint="33"/>
          </w:tcPr>
          <w:p>
            <w:pPr>
              <w:spacing w:line="380" w:lineRule="exact"/>
              <w:rPr>
                <w:rFonts w:cs="Calibri"/>
                <w:sz w:val="20"/>
                <w:szCs w:val="20"/>
              </w:rPr>
            </w:pPr>
            <w:r>
              <w:rPr>
                <w:rFonts w:cs="Calibri"/>
                <w:sz w:val="20"/>
                <w:szCs w:val="20"/>
              </w:rPr>
              <w:t>\</w:t>
            </w:r>
          </w:p>
        </w:tc>
        <w:tc>
          <w:tcPr>
            <w:tcW w:w="633" w:type="pct"/>
            <w:tcBorders>
              <w:top w:val="nil"/>
              <w:left w:val="nil"/>
              <w:bottom w:val="nil"/>
              <w:right w:val="nil"/>
            </w:tcBorders>
            <w:shd w:val="clear" w:color="auto" w:fill="C6D9F0" w:themeFill="text2" w:themeFillTint="33"/>
          </w:tcPr>
          <w:p>
            <w:pPr>
              <w:spacing w:line="380" w:lineRule="exact"/>
              <w:jc w:val="center"/>
              <w:rPr>
                <w:rFonts w:cs="Calibri"/>
                <w:sz w:val="20"/>
                <w:szCs w:val="20"/>
              </w:rPr>
            </w:pPr>
            <w:r>
              <w:rPr>
                <w:rFonts w:cs="Calibri"/>
                <w:sz w:val="20"/>
                <w:szCs w:val="20"/>
              </w:rPr>
              <w:t>1</w:t>
            </w:r>
          </w:p>
        </w:tc>
        <w:tc>
          <w:tcPr>
            <w:tcW w:w="494" w:type="pct"/>
            <w:tcBorders>
              <w:top w:val="nil"/>
              <w:left w:val="nil"/>
              <w:bottom w:val="nil"/>
              <w:right w:val="nil"/>
            </w:tcBorders>
            <w:shd w:val="clear" w:color="auto" w:fill="C6D9F0" w:themeFill="text2" w:themeFillTint="33"/>
          </w:tcPr>
          <w:p>
            <w:pPr>
              <w:spacing w:line="380" w:lineRule="exact"/>
              <w:jc w:val="center"/>
              <w:rPr>
                <w:rFonts w:cs="Calibri"/>
                <w:sz w:val="20"/>
                <w:szCs w:val="20"/>
              </w:rPr>
            </w:pPr>
            <w:r>
              <w:rPr>
                <w:rFonts w:cs="Calibri"/>
                <w:sz w:val="20"/>
                <w:szCs w:val="20"/>
              </w:rPr>
              <w:t>\</w:t>
            </w:r>
          </w:p>
        </w:tc>
        <w:tc>
          <w:tcPr>
            <w:tcW w:w="494" w:type="pct"/>
            <w:tcBorders>
              <w:top w:val="nil"/>
              <w:left w:val="nil"/>
              <w:bottom w:val="nil"/>
              <w:right w:val="nil"/>
            </w:tcBorders>
            <w:shd w:val="clear" w:color="auto" w:fill="C6D9F0" w:themeFill="text2" w:themeFillTint="33"/>
          </w:tcPr>
          <w:p>
            <w:pPr>
              <w:spacing w:line="380" w:lineRule="exact"/>
              <w:jc w:val="center"/>
              <w:rPr>
                <w:rFonts w:cs="Calibri"/>
                <w:sz w:val="20"/>
                <w:szCs w:val="20"/>
              </w:rPr>
            </w:pPr>
            <w:r>
              <w:rPr>
                <w:rFonts w:cs="Calibri"/>
                <w:sz w:val="20"/>
                <w:szCs w:val="20"/>
              </w:rPr>
              <w:t>\</w:t>
            </w:r>
          </w:p>
        </w:tc>
        <w:tc>
          <w:tcPr>
            <w:tcW w:w="490"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w:t>
            </w:r>
          </w:p>
        </w:tc>
        <w:tc>
          <w:tcPr>
            <w:tcW w:w="489" w:type="pct"/>
            <w:tcBorders>
              <w:top w:val="nil"/>
              <w:left w:val="nil"/>
              <w:bottom w:val="nil"/>
              <w:right w:val="nil"/>
            </w:tcBorders>
            <w:shd w:val="clear" w:color="auto" w:fill="C6D9F0" w:themeFill="text2" w:themeFillTint="33"/>
          </w:tcPr>
          <w:p>
            <w:pPr>
              <w:spacing w:line="380" w:lineRule="exact"/>
              <w:jc w:val="center"/>
              <w:rPr>
                <w:sz w:val="20"/>
                <w:szCs w:val="20"/>
              </w:rPr>
            </w:pPr>
            <w:r>
              <w:rPr>
                <w:sz w:val="20"/>
                <w:szCs w:val="20"/>
              </w:rPr>
              <w:t>\</w:t>
            </w:r>
          </w:p>
        </w:tc>
      </w:tr>
      <w:tr>
        <w:tblPrEx>
          <w:tblCellMar>
            <w:top w:w="0" w:type="dxa"/>
            <w:left w:w="108" w:type="dxa"/>
            <w:bottom w:w="0" w:type="dxa"/>
            <w:right w:w="108" w:type="dxa"/>
          </w:tblCellMar>
        </w:tblPrEx>
        <w:trPr>
          <w:trHeight w:val="285" w:hRule="atLeast"/>
        </w:trPr>
        <w:tc>
          <w:tcPr>
            <w:tcW w:w="1132" w:type="pct"/>
            <w:tcBorders>
              <w:top w:val="nil"/>
              <w:left w:val="nil"/>
              <w:bottom w:val="nil"/>
              <w:right w:val="nil"/>
            </w:tcBorders>
            <w:shd w:val="clear" w:color="auto" w:fill="FFFFFF" w:themeFill="background1" w:themeFillTint="33"/>
          </w:tcPr>
          <w:p>
            <w:pPr>
              <w:spacing w:line="380" w:lineRule="exact"/>
              <w:jc w:val="left"/>
              <w:rPr>
                <w:sz w:val="20"/>
                <w:szCs w:val="20"/>
              </w:rPr>
            </w:pPr>
            <w:r>
              <w:rPr>
                <w:sz w:val="20"/>
                <w:szCs w:val="20"/>
              </w:rPr>
              <w:t>计算机信息管理</w:t>
            </w:r>
          </w:p>
        </w:tc>
        <w:tc>
          <w:tcPr>
            <w:tcW w:w="635" w:type="pct"/>
            <w:tcBorders>
              <w:top w:val="nil"/>
              <w:left w:val="nil"/>
              <w:bottom w:val="nil"/>
              <w:right w:val="nil"/>
            </w:tcBorders>
            <w:shd w:val="clear" w:color="auto" w:fill="FFFFFF" w:themeFill="background1" w:themeFillTint="33"/>
          </w:tcPr>
          <w:p>
            <w:pPr>
              <w:spacing w:line="380" w:lineRule="exact"/>
              <w:rPr>
                <w:rFonts w:cs="Calibri"/>
                <w:sz w:val="20"/>
                <w:szCs w:val="20"/>
              </w:rPr>
            </w:pPr>
            <w:r>
              <w:rPr>
                <w:rFonts w:cs="Calibri"/>
                <w:sz w:val="20"/>
                <w:szCs w:val="20"/>
              </w:rPr>
              <w:t>6</w:t>
            </w:r>
          </w:p>
        </w:tc>
        <w:tc>
          <w:tcPr>
            <w:tcW w:w="633" w:type="pct"/>
            <w:tcBorders>
              <w:top w:val="nil"/>
              <w:left w:val="nil"/>
              <w:bottom w:val="nil"/>
              <w:right w:val="nil"/>
            </w:tcBorders>
            <w:shd w:val="clear" w:color="auto" w:fill="FFFFFF" w:themeFill="background1" w:themeFillTint="33"/>
          </w:tcPr>
          <w:p>
            <w:pPr>
              <w:spacing w:line="380" w:lineRule="exact"/>
              <w:rPr>
                <w:rFonts w:cs="Calibri"/>
                <w:sz w:val="20"/>
                <w:szCs w:val="20"/>
              </w:rPr>
            </w:pPr>
            <w:r>
              <w:rPr>
                <w:rFonts w:cs="Calibri"/>
                <w:sz w:val="20"/>
                <w:szCs w:val="20"/>
              </w:rPr>
              <w:t>4</w:t>
            </w:r>
          </w:p>
        </w:tc>
        <w:tc>
          <w:tcPr>
            <w:tcW w:w="633" w:type="pct"/>
            <w:tcBorders>
              <w:top w:val="nil"/>
              <w:left w:val="nil"/>
              <w:bottom w:val="nil"/>
              <w:right w:val="nil"/>
            </w:tcBorders>
            <w:shd w:val="clear" w:color="auto" w:fill="FFFFFF" w:themeFill="background1" w:themeFillTint="33"/>
          </w:tcPr>
          <w:p>
            <w:pPr>
              <w:spacing w:line="380" w:lineRule="exact"/>
              <w:jc w:val="center"/>
              <w:rPr>
                <w:rFonts w:cs="Calibri"/>
                <w:sz w:val="20"/>
                <w:szCs w:val="20"/>
              </w:rPr>
            </w:pPr>
            <w:r>
              <w:rPr>
                <w:rFonts w:cs="Calibri"/>
                <w:sz w:val="20"/>
                <w:szCs w:val="20"/>
              </w:rPr>
              <w:t>6</w:t>
            </w:r>
          </w:p>
        </w:tc>
        <w:tc>
          <w:tcPr>
            <w:tcW w:w="494" w:type="pct"/>
            <w:tcBorders>
              <w:top w:val="nil"/>
              <w:left w:val="nil"/>
              <w:bottom w:val="nil"/>
              <w:right w:val="nil"/>
            </w:tcBorders>
            <w:shd w:val="clear" w:color="auto" w:fill="FFFFFF" w:themeFill="background1" w:themeFillTint="33"/>
          </w:tcPr>
          <w:p>
            <w:pPr>
              <w:spacing w:line="380" w:lineRule="exact"/>
              <w:jc w:val="center"/>
              <w:rPr>
                <w:rFonts w:cs="Calibri"/>
                <w:sz w:val="20"/>
                <w:szCs w:val="20"/>
              </w:rPr>
            </w:pPr>
            <w:r>
              <w:rPr>
                <w:rFonts w:cs="Calibri"/>
                <w:sz w:val="20"/>
                <w:szCs w:val="20"/>
              </w:rPr>
              <w:t>2</w:t>
            </w:r>
          </w:p>
        </w:tc>
        <w:tc>
          <w:tcPr>
            <w:tcW w:w="494" w:type="pct"/>
            <w:tcBorders>
              <w:top w:val="nil"/>
              <w:left w:val="nil"/>
              <w:bottom w:val="nil"/>
              <w:right w:val="nil"/>
            </w:tcBorders>
            <w:shd w:val="clear" w:color="auto" w:fill="FFFFFF" w:themeFill="background1" w:themeFillTint="33"/>
          </w:tcPr>
          <w:p>
            <w:pPr>
              <w:spacing w:line="380" w:lineRule="exact"/>
              <w:jc w:val="center"/>
              <w:rPr>
                <w:rFonts w:cs="Calibri"/>
                <w:sz w:val="20"/>
                <w:szCs w:val="20"/>
              </w:rPr>
            </w:pPr>
            <w:r>
              <w:rPr>
                <w:rFonts w:cs="Calibri"/>
                <w:sz w:val="20"/>
                <w:szCs w:val="20"/>
              </w:rPr>
              <w:t>4</w:t>
            </w:r>
          </w:p>
        </w:tc>
        <w:tc>
          <w:tcPr>
            <w:tcW w:w="490" w:type="pct"/>
            <w:tcBorders>
              <w:top w:val="nil"/>
              <w:left w:val="nil"/>
              <w:bottom w:val="nil"/>
              <w:right w:val="nil"/>
            </w:tcBorders>
            <w:shd w:val="clear" w:color="auto" w:fill="FFFFFF" w:themeFill="background1" w:themeFillTint="33"/>
          </w:tcPr>
          <w:p>
            <w:pPr>
              <w:spacing w:line="380" w:lineRule="exact"/>
              <w:jc w:val="center"/>
              <w:rPr>
                <w:sz w:val="20"/>
                <w:szCs w:val="20"/>
              </w:rPr>
            </w:pPr>
            <w:r>
              <w:rPr>
                <w:sz w:val="20"/>
                <w:szCs w:val="20"/>
              </w:rPr>
              <w:t>4</w:t>
            </w:r>
          </w:p>
        </w:tc>
        <w:tc>
          <w:tcPr>
            <w:tcW w:w="489" w:type="pct"/>
            <w:tcBorders>
              <w:top w:val="nil"/>
              <w:left w:val="nil"/>
              <w:bottom w:val="nil"/>
              <w:right w:val="nil"/>
            </w:tcBorders>
            <w:shd w:val="clear" w:color="auto" w:fill="FFFFFF" w:themeFill="background1" w:themeFillTint="33"/>
          </w:tcPr>
          <w:p>
            <w:pPr>
              <w:spacing w:line="380" w:lineRule="exact"/>
              <w:jc w:val="center"/>
              <w:rPr>
                <w:sz w:val="20"/>
                <w:szCs w:val="20"/>
              </w:rPr>
            </w:pPr>
            <w:r>
              <w:rPr>
                <w:sz w:val="20"/>
                <w:szCs w:val="20"/>
              </w:rPr>
              <w:t>4</w:t>
            </w:r>
          </w:p>
        </w:tc>
      </w:tr>
      <w:tr>
        <w:tblPrEx>
          <w:tblCellMar>
            <w:top w:w="0" w:type="dxa"/>
            <w:left w:w="108" w:type="dxa"/>
            <w:bottom w:w="0" w:type="dxa"/>
            <w:right w:w="108" w:type="dxa"/>
          </w:tblCellMar>
        </w:tblPrEx>
        <w:trPr>
          <w:trHeight w:val="285" w:hRule="atLeast"/>
        </w:trPr>
        <w:tc>
          <w:tcPr>
            <w:tcW w:w="1132" w:type="pct"/>
            <w:tcBorders>
              <w:top w:val="nil"/>
              <w:left w:val="nil"/>
              <w:bottom w:val="single" w:color="57B8E7" w:sz="12" w:space="0"/>
              <w:right w:val="nil"/>
            </w:tcBorders>
            <w:shd w:val="clear" w:color="auto" w:fill="FFFFFF" w:themeFill="background1" w:themeFillTint="33"/>
            <w:vAlign w:val="center"/>
          </w:tcPr>
          <w:p>
            <w:pPr>
              <w:spacing w:line="380" w:lineRule="exact"/>
              <w:jc w:val="left"/>
              <w:rPr>
                <w:sz w:val="20"/>
                <w:szCs w:val="20"/>
              </w:rPr>
            </w:pPr>
            <w:r>
              <w:rPr>
                <w:rFonts w:hint="eastAsia"/>
                <w:sz w:val="20"/>
                <w:szCs w:val="20"/>
              </w:rPr>
              <w:t>合计</w:t>
            </w:r>
          </w:p>
        </w:tc>
        <w:tc>
          <w:tcPr>
            <w:tcW w:w="635" w:type="pct"/>
            <w:tcBorders>
              <w:top w:val="nil"/>
              <w:left w:val="nil"/>
              <w:bottom w:val="single" w:color="57B8E7" w:sz="12" w:space="0"/>
              <w:right w:val="nil"/>
            </w:tcBorders>
            <w:shd w:val="clear" w:color="auto" w:fill="FFFFFF" w:themeFill="background1" w:themeFillTint="33"/>
          </w:tcPr>
          <w:p>
            <w:pPr>
              <w:spacing w:line="380" w:lineRule="exact"/>
              <w:rPr>
                <w:sz w:val="20"/>
                <w:szCs w:val="20"/>
              </w:rPr>
            </w:pPr>
            <w:r>
              <w:t>43</w:t>
            </w:r>
          </w:p>
        </w:tc>
        <w:tc>
          <w:tcPr>
            <w:tcW w:w="633" w:type="pct"/>
            <w:tcBorders>
              <w:top w:val="nil"/>
              <w:left w:val="nil"/>
              <w:bottom w:val="single" w:color="57B8E7" w:sz="12" w:space="0"/>
              <w:right w:val="nil"/>
            </w:tcBorders>
            <w:shd w:val="clear" w:color="auto" w:fill="FFFFFF" w:themeFill="background1" w:themeFillTint="33"/>
          </w:tcPr>
          <w:p>
            <w:pPr>
              <w:spacing w:line="380" w:lineRule="exact"/>
              <w:rPr>
                <w:sz w:val="20"/>
                <w:szCs w:val="20"/>
              </w:rPr>
            </w:pPr>
            <w:r>
              <w:t>35</w:t>
            </w:r>
          </w:p>
        </w:tc>
        <w:tc>
          <w:tcPr>
            <w:tcW w:w="633"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t>56</w:t>
            </w:r>
          </w:p>
        </w:tc>
        <w:tc>
          <w:tcPr>
            <w:tcW w:w="494"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t>10</w:t>
            </w:r>
          </w:p>
        </w:tc>
        <w:tc>
          <w:tcPr>
            <w:tcW w:w="494"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t>28</w:t>
            </w:r>
          </w:p>
        </w:tc>
        <w:tc>
          <w:tcPr>
            <w:tcW w:w="490"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t>28</w:t>
            </w:r>
          </w:p>
        </w:tc>
        <w:tc>
          <w:tcPr>
            <w:tcW w:w="489" w:type="pct"/>
            <w:tcBorders>
              <w:top w:val="nil"/>
              <w:left w:val="nil"/>
              <w:bottom w:val="single" w:color="57B8E7" w:sz="12" w:space="0"/>
              <w:right w:val="nil"/>
            </w:tcBorders>
            <w:shd w:val="clear" w:color="auto" w:fill="FFFFFF" w:themeFill="background1" w:themeFillTint="33"/>
          </w:tcPr>
          <w:p>
            <w:pPr>
              <w:spacing w:line="380" w:lineRule="exact"/>
              <w:jc w:val="center"/>
              <w:rPr>
                <w:sz w:val="20"/>
                <w:szCs w:val="20"/>
              </w:rPr>
            </w:pPr>
            <w:r>
              <w:rPr>
                <w:sz w:val="20"/>
                <w:szCs w:val="20"/>
              </w:rPr>
              <w:t>28</w:t>
            </w:r>
          </w:p>
        </w:tc>
      </w:tr>
    </w:tbl>
    <w:p>
      <w:pPr>
        <w:spacing w:line="360" w:lineRule="auto"/>
        <w:ind w:firstLine="480" w:firstLineChars="200"/>
        <w:rPr>
          <w:rFonts w:ascii="宋体" w:hAnsi="宋体" w:cs="宋体"/>
          <w:kern w:val="0"/>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上表可以看出，两届参与调查的毕业生人数占比均在全校样本比例中处于中下水平。从该项数据来看毕业生对这项调查的参与度还不够，覆盖面还不够广。从反馈总体情况来看，毕业生的就业形势比较严峻，所学专业与实际就业的契合度不高，教学过程中还存在的诸多不尽如人意的地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下面分别从就业质量和教学培养过程两方面作详细分析反馈。</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二、就业质量分析</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按照麦可思报告提供的2018届、2021届各专业毕业生的统计数据、各学院毕业生统计数据分析，我院有些专业毕业生的统计数据评价指标大部分高于全校平均水平，而学院毕业生的统计数据部分评价指标低于全校平均水平。由于有些专业毕业生人数少（大数据技术与应用13人、动漫制作技术9人），参与调查的人数达不到一定的样本量，在计算各专业分析指标时，有些数据空缺，因此数据的代表性不高，具体数据统计情况如下：</w:t>
      </w:r>
    </w:p>
    <w:p>
      <w:pPr>
        <w:pStyle w:val="32"/>
        <w:spacing w:before="78" w:beforeLines="25" w:after="78" w:afterLines="25" w:line="380" w:lineRule="exact"/>
        <w:jc w:val="center"/>
        <w:rPr>
          <w:rFonts w:ascii="Cambria" w:hAnsi="Cambria" w:eastAsia="黑体" w:cs="宋体"/>
          <w:bCs w:val="0"/>
          <w:kern w:val="2"/>
          <w:sz w:val="24"/>
        </w:rPr>
      </w:pPr>
      <w:r>
        <w:rPr>
          <w:rFonts w:hint="eastAsia" w:ascii="Cambria" w:hAnsi="Cambria" w:eastAsia="黑体" w:cs="宋体"/>
          <w:bCs w:val="0"/>
          <w:kern w:val="2"/>
          <w:sz w:val="24"/>
        </w:rPr>
        <w:t>数学与信息工程学院2018、2021届主要评价指标统计</w:t>
      </w:r>
    </w:p>
    <w:tbl>
      <w:tblPr>
        <w:tblStyle w:val="1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1559"/>
        <w:gridCol w:w="1315"/>
        <w:gridCol w:w="137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8DB3E2"/>
            <w:vAlign w:val="center"/>
          </w:tcPr>
          <w:p>
            <w:pPr>
              <w:spacing w:line="380" w:lineRule="exact"/>
              <w:jc w:val="center"/>
              <w:rPr>
                <w:rFonts w:ascii="Cambria" w:hAnsi="Cambria" w:cs="微软雅黑"/>
                <w:b/>
                <w:bCs/>
                <w:sz w:val="18"/>
                <w:szCs w:val="18"/>
              </w:rPr>
            </w:pPr>
            <w:r>
              <w:rPr>
                <w:rFonts w:hint="eastAsia" w:ascii="Cambria" w:hAnsi="Cambria" w:cs="微软雅黑"/>
                <w:b/>
                <w:bCs/>
                <w:sz w:val="18"/>
                <w:szCs w:val="18"/>
              </w:rPr>
              <w:t>指标</w:t>
            </w:r>
          </w:p>
        </w:tc>
        <w:tc>
          <w:tcPr>
            <w:tcW w:w="1134" w:type="dxa"/>
            <w:shd w:val="clear" w:color="auto" w:fill="8DB3E2"/>
          </w:tcPr>
          <w:p>
            <w:pPr>
              <w:spacing w:line="380" w:lineRule="exact"/>
              <w:jc w:val="center"/>
              <w:rPr>
                <w:rFonts w:ascii="Cambria" w:hAnsi="Cambria" w:cs="微软雅黑"/>
                <w:b/>
                <w:bCs/>
                <w:sz w:val="18"/>
                <w:szCs w:val="18"/>
              </w:rPr>
            </w:pPr>
            <w:r>
              <w:rPr>
                <w:rFonts w:hint="eastAsia" w:ascii="Cambria" w:hAnsi="Cambria" w:cs="微软雅黑"/>
                <w:b/>
                <w:bCs/>
                <w:sz w:val="18"/>
                <w:szCs w:val="18"/>
              </w:rPr>
              <w:t>数信院</w:t>
            </w:r>
          </w:p>
          <w:p>
            <w:pPr>
              <w:spacing w:line="380" w:lineRule="exact"/>
              <w:jc w:val="center"/>
              <w:rPr>
                <w:rFonts w:ascii="Cambria" w:hAnsi="Cambria" w:cs="微软雅黑"/>
                <w:b/>
                <w:bCs/>
                <w:sz w:val="18"/>
                <w:szCs w:val="18"/>
              </w:rPr>
            </w:pPr>
            <w:r>
              <w:rPr>
                <w:rFonts w:hint="eastAsia" w:ascii="Cambria" w:hAnsi="Cambria" w:cs="微软雅黑"/>
                <w:b/>
                <w:bCs/>
                <w:sz w:val="18"/>
                <w:szCs w:val="18"/>
              </w:rPr>
              <w:t>（2018届）</w:t>
            </w:r>
          </w:p>
        </w:tc>
        <w:tc>
          <w:tcPr>
            <w:tcW w:w="1559" w:type="dxa"/>
            <w:shd w:val="clear" w:color="auto" w:fill="8DB3E2"/>
          </w:tcPr>
          <w:p>
            <w:pPr>
              <w:spacing w:line="380" w:lineRule="exact"/>
              <w:jc w:val="center"/>
              <w:rPr>
                <w:rFonts w:ascii="Cambria" w:hAnsi="Cambria" w:cs="微软雅黑"/>
                <w:b/>
                <w:bCs/>
                <w:sz w:val="18"/>
                <w:szCs w:val="18"/>
              </w:rPr>
            </w:pPr>
            <w:r>
              <w:rPr>
                <w:rFonts w:hint="eastAsia" w:ascii="Cambria" w:hAnsi="Cambria" w:cs="微软雅黑"/>
                <w:b/>
                <w:bCs/>
                <w:sz w:val="18"/>
                <w:szCs w:val="18"/>
              </w:rPr>
              <w:t>校均值</w:t>
            </w:r>
          </w:p>
          <w:p>
            <w:pPr>
              <w:spacing w:line="380" w:lineRule="exact"/>
              <w:jc w:val="center"/>
              <w:rPr>
                <w:rFonts w:ascii="Cambria" w:hAnsi="Cambria" w:cs="微软雅黑"/>
                <w:b/>
                <w:bCs/>
                <w:sz w:val="18"/>
                <w:szCs w:val="18"/>
              </w:rPr>
            </w:pPr>
            <w:r>
              <w:rPr>
                <w:rFonts w:hint="eastAsia" w:ascii="Cambria" w:hAnsi="Cambria" w:cs="微软雅黑"/>
                <w:b/>
                <w:bCs/>
                <w:sz w:val="18"/>
                <w:szCs w:val="18"/>
              </w:rPr>
              <w:t>（2018届）</w:t>
            </w:r>
          </w:p>
        </w:tc>
        <w:tc>
          <w:tcPr>
            <w:tcW w:w="1315" w:type="dxa"/>
            <w:shd w:val="clear" w:color="auto" w:fill="8DB3E2"/>
          </w:tcPr>
          <w:p>
            <w:pPr>
              <w:spacing w:line="380" w:lineRule="exact"/>
              <w:jc w:val="center"/>
              <w:rPr>
                <w:rFonts w:ascii="Cambria" w:hAnsi="Cambria" w:cs="微软雅黑"/>
                <w:b/>
                <w:bCs/>
                <w:sz w:val="18"/>
                <w:szCs w:val="18"/>
              </w:rPr>
            </w:pPr>
            <w:r>
              <w:rPr>
                <w:rFonts w:hint="eastAsia" w:ascii="Cambria" w:hAnsi="Cambria" w:cs="微软雅黑"/>
                <w:b/>
                <w:bCs/>
                <w:sz w:val="18"/>
                <w:szCs w:val="18"/>
              </w:rPr>
              <w:t>数信院</w:t>
            </w:r>
          </w:p>
          <w:p>
            <w:pPr>
              <w:spacing w:line="380" w:lineRule="exact"/>
              <w:jc w:val="center"/>
              <w:rPr>
                <w:rFonts w:ascii="Cambria" w:hAnsi="Cambria" w:cs="微软雅黑"/>
                <w:b/>
                <w:bCs/>
                <w:sz w:val="18"/>
                <w:szCs w:val="18"/>
              </w:rPr>
            </w:pPr>
            <w:r>
              <w:rPr>
                <w:rFonts w:hint="eastAsia" w:ascii="Cambria" w:hAnsi="Cambria" w:cs="微软雅黑"/>
                <w:b/>
                <w:bCs/>
                <w:sz w:val="18"/>
                <w:szCs w:val="18"/>
              </w:rPr>
              <w:t>（2021届）</w:t>
            </w:r>
          </w:p>
        </w:tc>
        <w:tc>
          <w:tcPr>
            <w:tcW w:w="1378" w:type="dxa"/>
            <w:shd w:val="clear" w:color="auto" w:fill="8DB3E2"/>
          </w:tcPr>
          <w:p>
            <w:pPr>
              <w:spacing w:line="380" w:lineRule="exact"/>
              <w:ind w:left="134" w:leftChars="64"/>
              <w:jc w:val="center"/>
              <w:rPr>
                <w:rFonts w:ascii="Cambria" w:hAnsi="Cambria" w:cs="微软雅黑"/>
                <w:b/>
                <w:bCs/>
                <w:sz w:val="18"/>
                <w:szCs w:val="18"/>
              </w:rPr>
            </w:pPr>
            <w:r>
              <w:rPr>
                <w:rFonts w:hint="eastAsia" w:ascii="Cambria" w:hAnsi="Cambria" w:cs="微软雅黑"/>
                <w:b/>
                <w:bCs/>
                <w:sz w:val="18"/>
                <w:szCs w:val="18"/>
              </w:rPr>
              <w:t>校均值（2021届）</w:t>
            </w:r>
          </w:p>
        </w:tc>
        <w:tc>
          <w:tcPr>
            <w:tcW w:w="992" w:type="dxa"/>
            <w:shd w:val="clear" w:color="auto" w:fill="8DB3E2"/>
          </w:tcPr>
          <w:p>
            <w:pPr>
              <w:spacing w:line="380" w:lineRule="exact"/>
              <w:jc w:val="center"/>
              <w:rPr>
                <w:rFonts w:ascii="Cambria" w:hAnsi="Cambria" w:cs="微软雅黑"/>
                <w:b/>
                <w:bCs/>
                <w:sz w:val="18"/>
                <w:szCs w:val="18"/>
              </w:rPr>
            </w:pPr>
            <w:r>
              <w:rPr>
                <w:rFonts w:hint="eastAsia" w:ascii="Cambria" w:hAnsi="Cambria" w:cs="微软雅黑"/>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widowControl/>
              <w:jc w:val="center"/>
              <w:rPr>
                <w:rFonts w:ascii="Cambria" w:hAnsi="Cambria" w:cs="微软雅黑"/>
                <w:sz w:val="18"/>
                <w:szCs w:val="18"/>
              </w:rPr>
            </w:pPr>
            <w:r>
              <w:rPr>
                <w:rFonts w:hint="eastAsia" w:ascii="Cambria" w:hAnsi="Cambria" w:cs="微软雅黑"/>
                <w:sz w:val="18"/>
                <w:szCs w:val="18"/>
              </w:rPr>
              <w:t>毕业去向落实率</w:t>
            </w:r>
          </w:p>
        </w:tc>
        <w:tc>
          <w:tcPr>
            <w:tcW w:w="1134" w:type="dxa"/>
          </w:tcPr>
          <w:p>
            <w:pPr>
              <w:spacing w:line="380" w:lineRule="exact"/>
              <w:jc w:val="center"/>
              <w:rPr>
                <w:rFonts w:ascii="Cambria" w:hAnsi="Cambria" w:cs="微软雅黑"/>
                <w:sz w:val="18"/>
                <w:szCs w:val="18"/>
              </w:rPr>
            </w:pPr>
          </w:p>
        </w:tc>
        <w:tc>
          <w:tcPr>
            <w:tcW w:w="1559" w:type="dxa"/>
          </w:tcPr>
          <w:p>
            <w:pPr>
              <w:spacing w:line="380" w:lineRule="exact"/>
              <w:jc w:val="center"/>
              <w:rPr>
                <w:rFonts w:ascii="Cambria" w:hAnsi="Cambria" w:cs="微软雅黑"/>
                <w:sz w:val="18"/>
                <w:szCs w:val="18"/>
              </w:rPr>
            </w:pPr>
          </w:p>
        </w:tc>
        <w:tc>
          <w:tcPr>
            <w:tcW w:w="1315" w:type="dxa"/>
          </w:tcPr>
          <w:p>
            <w:pPr>
              <w:spacing w:line="380" w:lineRule="exact"/>
              <w:jc w:val="center"/>
              <w:rPr>
                <w:rFonts w:ascii="Cambria" w:hAnsi="Cambria" w:cs="微软雅黑"/>
                <w:sz w:val="18"/>
                <w:szCs w:val="18"/>
              </w:rPr>
            </w:pPr>
            <w:r>
              <w:rPr>
                <w:rFonts w:hint="eastAsia" w:ascii="Cambria" w:hAnsi="Cambria" w:cs="微软雅黑"/>
                <w:sz w:val="18"/>
                <w:szCs w:val="18"/>
              </w:rPr>
              <w:t>78</w:t>
            </w:r>
          </w:p>
        </w:tc>
        <w:tc>
          <w:tcPr>
            <w:tcW w:w="1378" w:type="dxa"/>
          </w:tcPr>
          <w:p>
            <w:pPr>
              <w:spacing w:line="380" w:lineRule="exact"/>
              <w:jc w:val="center"/>
              <w:rPr>
                <w:rFonts w:ascii="Cambria" w:hAnsi="Cambria" w:cs="微软雅黑"/>
                <w:sz w:val="18"/>
                <w:szCs w:val="18"/>
              </w:rPr>
            </w:pPr>
            <w:r>
              <w:rPr>
                <w:rFonts w:hint="eastAsia" w:ascii="Cambria" w:hAnsi="Cambria" w:cs="微软雅黑"/>
                <w:sz w:val="18"/>
                <w:szCs w:val="18"/>
              </w:rPr>
              <w:t>76</w:t>
            </w:r>
          </w:p>
        </w:tc>
        <w:tc>
          <w:tcPr>
            <w:tcW w:w="992" w:type="dxa"/>
          </w:tcPr>
          <w:p>
            <w:pPr>
              <w:spacing w:line="380" w:lineRule="exact"/>
              <w:jc w:val="center"/>
              <w:rPr>
                <w:rFonts w:ascii="Cambria" w:hAnsi="Cambria"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spacing w:line="380" w:lineRule="exact"/>
              <w:jc w:val="center"/>
              <w:rPr>
                <w:rFonts w:ascii="Cambria" w:hAnsi="Cambria" w:cs="微软雅黑"/>
                <w:sz w:val="18"/>
                <w:szCs w:val="18"/>
              </w:rPr>
            </w:pPr>
            <w:r>
              <w:rPr>
                <w:rFonts w:ascii="Cambria" w:hAnsi="Cambria" w:cs="微软雅黑"/>
                <w:sz w:val="18"/>
                <w:szCs w:val="18"/>
              </w:rPr>
              <w:t>月收入</w:t>
            </w:r>
          </w:p>
        </w:tc>
        <w:tc>
          <w:tcPr>
            <w:tcW w:w="1134" w:type="dxa"/>
          </w:tcPr>
          <w:p>
            <w:pPr>
              <w:spacing w:line="380" w:lineRule="exact"/>
              <w:jc w:val="center"/>
              <w:rPr>
                <w:rFonts w:ascii="Cambria" w:hAnsi="Cambria" w:cs="微软雅黑"/>
                <w:sz w:val="18"/>
                <w:szCs w:val="18"/>
              </w:rPr>
            </w:pPr>
            <w:r>
              <w:rPr>
                <w:rFonts w:hint="eastAsia" w:ascii="Cambria" w:hAnsi="Cambria" w:cs="微软雅黑"/>
                <w:sz w:val="18"/>
                <w:szCs w:val="18"/>
              </w:rPr>
              <w:t>5957</w:t>
            </w:r>
          </w:p>
        </w:tc>
        <w:tc>
          <w:tcPr>
            <w:tcW w:w="1559" w:type="dxa"/>
          </w:tcPr>
          <w:p>
            <w:pPr>
              <w:spacing w:line="380" w:lineRule="exact"/>
              <w:jc w:val="center"/>
              <w:rPr>
                <w:rFonts w:ascii="Cambria" w:hAnsi="Cambria" w:cs="微软雅黑"/>
                <w:sz w:val="18"/>
                <w:szCs w:val="18"/>
              </w:rPr>
            </w:pPr>
            <w:r>
              <w:rPr>
                <w:rFonts w:hint="eastAsia" w:ascii="Cambria" w:hAnsi="Cambria" w:cs="微软雅黑"/>
                <w:sz w:val="18"/>
                <w:szCs w:val="18"/>
              </w:rPr>
              <w:t>6176</w:t>
            </w:r>
          </w:p>
        </w:tc>
        <w:tc>
          <w:tcPr>
            <w:tcW w:w="1315" w:type="dxa"/>
          </w:tcPr>
          <w:p>
            <w:pPr>
              <w:spacing w:line="380" w:lineRule="exact"/>
              <w:jc w:val="center"/>
              <w:rPr>
                <w:rFonts w:ascii="Cambria" w:hAnsi="Cambria" w:cs="微软雅黑"/>
                <w:sz w:val="18"/>
                <w:szCs w:val="18"/>
              </w:rPr>
            </w:pPr>
            <w:r>
              <w:rPr>
                <w:rFonts w:hint="eastAsia" w:ascii="Cambria" w:hAnsi="Cambria" w:cs="微软雅黑"/>
                <w:sz w:val="18"/>
                <w:szCs w:val="18"/>
              </w:rPr>
              <w:t>4065</w:t>
            </w:r>
          </w:p>
        </w:tc>
        <w:tc>
          <w:tcPr>
            <w:tcW w:w="1378" w:type="dxa"/>
          </w:tcPr>
          <w:p>
            <w:pPr>
              <w:spacing w:line="380" w:lineRule="exact"/>
              <w:jc w:val="center"/>
              <w:rPr>
                <w:rFonts w:ascii="Cambria" w:hAnsi="Cambria" w:cs="微软雅黑"/>
                <w:sz w:val="18"/>
                <w:szCs w:val="18"/>
              </w:rPr>
            </w:pPr>
            <w:r>
              <w:rPr>
                <w:rFonts w:hint="eastAsia" w:ascii="Cambria" w:hAnsi="Cambria" w:cs="微软雅黑"/>
                <w:sz w:val="18"/>
                <w:szCs w:val="18"/>
              </w:rPr>
              <w:t>3595</w:t>
            </w:r>
          </w:p>
        </w:tc>
        <w:tc>
          <w:tcPr>
            <w:tcW w:w="992" w:type="dxa"/>
          </w:tcPr>
          <w:p>
            <w:pPr>
              <w:spacing w:line="380" w:lineRule="exact"/>
              <w:jc w:val="center"/>
              <w:rPr>
                <w:rFonts w:ascii="Cambria" w:hAnsi="Cambria"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spacing w:line="380" w:lineRule="exact"/>
              <w:jc w:val="center"/>
              <w:rPr>
                <w:rFonts w:ascii="Cambria" w:hAnsi="Cambria" w:cs="微软雅黑"/>
                <w:sz w:val="18"/>
                <w:szCs w:val="18"/>
              </w:rPr>
            </w:pPr>
            <w:r>
              <w:rPr>
                <w:rFonts w:ascii="Cambria" w:hAnsi="Cambria" w:cs="微软雅黑"/>
                <w:sz w:val="18"/>
                <w:szCs w:val="18"/>
              </w:rPr>
              <w:t>工作与专业相关</w:t>
            </w:r>
            <w:r>
              <w:rPr>
                <w:rFonts w:hint="eastAsia" w:ascii="Cambria" w:hAnsi="Cambria" w:cs="微软雅黑"/>
                <w:sz w:val="18"/>
                <w:szCs w:val="18"/>
              </w:rPr>
              <w:t>度</w:t>
            </w:r>
          </w:p>
        </w:tc>
        <w:tc>
          <w:tcPr>
            <w:tcW w:w="1134" w:type="dxa"/>
          </w:tcPr>
          <w:p>
            <w:pPr>
              <w:spacing w:line="380" w:lineRule="exact"/>
              <w:jc w:val="center"/>
              <w:rPr>
                <w:rFonts w:ascii="Cambria" w:hAnsi="Cambria" w:cs="微软雅黑"/>
                <w:sz w:val="18"/>
                <w:szCs w:val="18"/>
              </w:rPr>
            </w:pPr>
            <w:r>
              <w:rPr>
                <w:rFonts w:hint="eastAsia" w:ascii="Cambria" w:hAnsi="Cambria" w:cs="微软雅黑"/>
                <w:sz w:val="18"/>
                <w:szCs w:val="18"/>
              </w:rPr>
              <w:t>38%</w:t>
            </w:r>
          </w:p>
        </w:tc>
        <w:tc>
          <w:tcPr>
            <w:tcW w:w="1559" w:type="dxa"/>
          </w:tcPr>
          <w:p>
            <w:pPr>
              <w:spacing w:line="380" w:lineRule="exact"/>
              <w:jc w:val="center"/>
              <w:rPr>
                <w:rFonts w:ascii="Cambria" w:hAnsi="Cambria" w:cs="微软雅黑"/>
                <w:sz w:val="18"/>
                <w:szCs w:val="18"/>
              </w:rPr>
            </w:pPr>
            <w:r>
              <w:rPr>
                <w:rFonts w:hint="eastAsia" w:ascii="Cambria" w:hAnsi="Cambria" w:cs="微软雅黑"/>
                <w:sz w:val="18"/>
                <w:szCs w:val="18"/>
              </w:rPr>
              <w:t>57%</w:t>
            </w:r>
          </w:p>
        </w:tc>
        <w:tc>
          <w:tcPr>
            <w:tcW w:w="1315" w:type="dxa"/>
          </w:tcPr>
          <w:p>
            <w:pPr>
              <w:spacing w:line="380" w:lineRule="exact"/>
              <w:jc w:val="center"/>
              <w:rPr>
                <w:rFonts w:ascii="Cambria" w:hAnsi="Cambria" w:cs="微软雅黑"/>
                <w:sz w:val="18"/>
                <w:szCs w:val="18"/>
              </w:rPr>
            </w:pPr>
            <w:r>
              <w:rPr>
                <w:rFonts w:hint="eastAsia" w:ascii="Cambria" w:hAnsi="Cambria" w:cs="微软雅黑"/>
                <w:sz w:val="18"/>
                <w:szCs w:val="18"/>
              </w:rPr>
              <w:t>56%</w:t>
            </w:r>
          </w:p>
        </w:tc>
        <w:tc>
          <w:tcPr>
            <w:tcW w:w="1378" w:type="dxa"/>
          </w:tcPr>
          <w:p>
            <w:pPr>
              <w:spacing w:line="380" w:lineRule="exact"/>
              <w:jc w:val="center"/>
              <w:rPr>
                <w:rFonts w:ascii="Cambria" w:hAnsi="Cambria" w:cs="微软雅黑"/>
                <w:sz w:val="18"/>
                <w:szCs w:val="18"/>
              </w:rPr>
            </w:pPr>
            <w:r>
              <w:rPr>
                <w:rFonts w:hint="eastAsia" w:ascii="Cambria" w:hAnsi="Cambria" w:cs="微软雅黑"/>
                <w:sz w:val="18"/>
                <w:szCs w:val="18"/>
              </w:rPr>
              <w:t>77%</w:t>
            </w:r>
          </w:p>
        </w:tc>
        <w:tc>
          <w:tcPr>
            <w:tcW w:w="992" w:type="dxa"/>
          </w:tcPr>
          <w:p>
            <w:pPr>
              <w:spacing w:line="380" w:lineRule="exact"/>
              <w:jc w:val="center"/>
              <w:rPr>
                <w:rFonts w:ascii="Cambria" w:hAnsi="Cambria" w:cs="微软雅黑"/>
                <w:sz w:val="18"/>
                <w:szCs w:val="18"/>
              </w:rPr>
            </w:pPr>
            <w:r>
              <w:rPr>
                <w:rFonts w:hint="eastAsia" w:ascii="Cambria" w:hAnsi="Cambria" w:cs="微软雅黑"/>
                <w:sz w:val="18"/>
                <w:szCs w:val="18"/>
              </w:rPr>
              <w:t>偏低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vAlign w:val="center"/>
          </w:tcPr>
          <w:p>
            <w:pPr>
              <w:spacing w:line="380" w:lineRule="exact"/>
              <w:jc w:val="center"/>
              <w:rPr>
                <w:rFonts w:ascii="Cambria" w:hAnsi="Cambria" w:cs="微软雅黑"/>
                <w:sz w:val="18"/>
                <w:szCs w:val="18"/>
              </w:rPr>
            </w:pPr>
            <w:r>
              <w:rPr>
                <w:rFonts w:hint="eastAsia" w:ascii="Cambria" w:hAnsi="Cambria" w:cs="微软雅黑"/>
                <w:sz w:val="18"/>
                <w:szCs w:val="18"/>
              </w:rPr>
              <w:t>就业满意度</w:t>
            </w:r>
          </w:p>
        </w:tc>
        <w:tc>
          <w:tcPr>
            <w:tcW w:w="1134" w:type="dxa"/>
            <w:vAlign w:val="center"/>
          </w:tcPr>
          <w:p>
            <w:pPr>
              <w:spacing w:line="380" w:lineRule="exact"/>
              <w:jc w:val="center"/>
              <w:rPr>
                <w:rFonts w:ascii="Cambria" w:hAnsi="Cambria" w:cs="微软雅黑"/>
                <w:sz w:val="18"/>
                <w:szCs w:val="18"/>
              </w:rPr>
            </w:pPr>
            <w:r>
              <w:rPr>
                <w:rFonts w:hint="eastAsia" w:ascii="Cambria" w:hAnsi="Cambria" w:cs="微软雅黑"/>
                <w:sz w:val="18"/>
                <w:szCs w:val="18"/>
              </w:rPr>
              <w:t>77%</w:t>
            </w:r>
          </w:p>
        </w:tc>
        <w:tc>
          <w:tcPr>
            <w:tcW w:w="1559" w:type="dxa"/>
            <w:vAlign w:val="center"/>
          </w:tcPr>
          <w:p>
            <w:pPr>
              <w:spacing w:line="380" w:lineRule="exact"/>
              <w:jc w:val="center"/>
              <w:rPr>
                <w:rFonts w:ascii="Cambria" w:hAnsi="Cambria" w:cs="微软雅黑"/>
                <w:sz w:val="18"/>
                <w:szCs w:val="18"/>
              </w:rPr>
            </w:pPr>
            <w:r>
              <w:rPr>
                <w:rFonts w:hint="eastAsia" w:ascii="Cambria" w:hAnsi="Cambria" w:cs="微软雅黑"/>
                <w:sz w:val="18"/>
                <w:szCs w:val="18"/>
              </w:rPr>
              <w:t>76%</w:t>
            </w:r>
          </w:p>
        </w:tc>
        <w:tc>
          <w:tcPr>
            <w:tcW w:w="1315" w:type="dxa"/>
            <w:vAlign w:val="center"/>
          </w:tcPr>
          <w:p>
            <w:pPr>
              <w:spacing w:line="380" w:lineRule="exact"/>
              <w:jc w:val="center"/>
              <w:rPr>
                <w:rFonts w:ascii="Cambria" w:hAnsi="Cambria" w:cs="微软雅黑"/>
                <w:sz w:val="18"/>
                <w:szCs w:val="18"/>
              </w:rPr>
            </w:pPr>
            <w:r>
              <w:rPr>
                <w:rFonts w:hint="eastAsia" w:ascii="Cambria" w:hAnsi="Cambria" w:cs="微软雅黑"/>
                <w:sz w:val="18"/>
                <w:szCs w:val="18"/>
              </w:rPr>
              <w:t>85%</w:t>
            </w:r>
          </w:p>
        </w:tc>
        <w:tc>
          <w:tcPr>
            <w:tcW w:w="1378" w:type="dxa"/>
            <w:vAlign w:val="center"/>
          </w:tcPr>
          <w:p>
            <w:pPr>
              <w:spacing w:line="380" w:lineRule="exact"/>
              <w:jc w:val="center"/>
              <w:rPr>
                <w:rFonts w:ascii="Cambria" w:hAnsi="Cambria" w:cs="微软雅黑"/>
                <w:sz w:val="18"/>
                <w:szCs w:val="18"/>
              </w:rPr>
            </w:pPr>
            <w:r>
              <w:rPr>
                <w:rFonts w:hint="eastAsia" w:ascii="Cambria" w:hAnsi="Cambria" w:cs="微软雅黑"/>
                <w:sz w:val="18"/>
                <w:szCs w:val="18"/>
              </w:rPr>
              <w:t>76%</w:t>
            </w:r>
          </w:p>
        </w:tc>
        <w:tc>
          <w:tcPr>
            <w:tcW w:w="992" w:type="dxa"/>
            <w:vAlign w:val="center"/>
          </w:tcPr>
          <w:p>
            <w:pPr>
              <w:spacing w:line="380" w:lineRule="exact"/>
              <w:jc w:val="center"/>
              <w:rPr>
                <w:rFonts w:ascii="Cambria" w:hAnsi="Cambria"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spacing w:line="380" w:lineRule="exact"/>
              <w:jc w:val="center"/>
              <w:rPr>
                <w:rFonts w:ascii="Cambria" w:hAnsi="Cambria" w:cs="Arial"/>
                <w:sz w:val="18"/>
                <w:szCs w:val="18"/>
              </w:rPr>
            </w:pPr>
            <w:r>
              <w:rPr>
                <w:rFonts w:hint="eastAsia" w:ascii="Cambria" w:hAnsi="Cambria" w:cs="Calibri"/>
                <w:sz w:val="18"/>
                <w:szCs w:val="18"/>
              </w:rPr>
              <w:t>对教学的满意度</w:t>
            </w:r>
          </w:p>
        </w:tc>
        <w:tc>
          <w:tcPr>
            <w:tcW w:w="1134" w:type="dxa"/>
          </w:tcPr>
          <w:p>
            <w:pPr>
              <w:spacing w:line="380" w:lineRule="exact"/>
              <w:jc w:val="center"/>
              <w:rPr>
                <w:rFonts w:ascii="Cambria" w:hAnsi="Cambria" w:cs="Calibri"/>
                <w:sz w:val="18"/>
                <w:szCs w:val="18"/>
              </w:rPr>
            </w:pPr>
            <w:r>
              <w:rPr>
                <w:rFonts w:hint="eastAsia" w:ascii="Cambria" w:hAnsi="Cambria" w:cs="Calibri"/>
                <w:sz w:val="18"/>
                <w:szCs w:val="18"/>
              </w:rPr>
              <w:t>93%</w:t>
            </w:r>
          </w:p>
        </w:tc>
        <w:tc>
          <w:tcPr>
            <w:tcW w:w="1559" w:type="dxa"/>
          </w:tcPr>
          <w:p>
            <w:pPr>
              <w:spacing w:line="380" w:lineRule="exact"/>
              <w:jc w:val="center"/>
              <w:rPr>
                <w:rFonts w:ascii="Cambria" w:hAnsi="Cambria" w:cs="Calibri"/>
                <w:sz w:val="18"/>
                <w:szCs w:val="18"/>
              </w:rPr>
            </w:pPr>
            <w:r>
              <w:rPr>
                <w:rFonts w:hint="eastAsia" w:ascii="Cambria" w:hAnsi="Cambria" w:cs="Calibri"/>
                <w:sz w:val="18"/>
                <w:szCs w:val="18"/>
              </w:rPr>
              <w:t>94%</w:t>
            </w:r>
          </w:p>
        </w:tc>
        <w:tc>
          <w:tcPr>
            <w:tcW w:w="1315" w:type="dxa"/>
          </w:tcPr>
          <w:p>
            <w:pPr>
              <w:spacing w:line="380" w:lineRule="exact"/>
              <w:jc w:val="center"/>
              <w:rPr>
                <w:rFonts w:ascii="Cambria" w:hAnsi="Cambria" w:cs="微软雅黑"/>
                <w:sz w:val="18"/>
                <w:szCs w:val="18"/>
              </w:rPr>
            </w:pPr>
            <w:r>
              <w:rPr>
                <w:rFonts w:hint="eastAsia" w:ascii="Cambria" w:hAnsi="Cambria" w:cs="微软雅黑"/>
                <w:sz w:val="18"/>
                <w:szCs w:val="18"/>
              </w:rPr>
              <w:t>85%</w:t>
            </w:r>
          </w:p>
        </w:tc>
        <w:tc>
          <w:tcPr>
            <w:tcW w:w="1378" w:type="dxa"/>
          </w:tcPr>
          <w:p>
            <w:pPr>
              <w:spacing w:line="380" w:lineRule="exact"/>
              <w:jc w:val="center"/>
              <w:rPr>
                <w:rFonts w:ascii="Cambria" w:hAnsi="Cambria" w:cs="微软雅黑"/>
                <w:sz w:val="18"/>
                <w:szCs w:val="18"/>
              </w:rPr>
            </w:pPr>
            <w:r>
              <w:rPr>
                <w:rFonts w:hint="eastAsia" w:ascii="Cambria" w:hAnsi="Cambria" w:cs="微软雅黑"/>
                <w:sz w:val="18"/>
                <w:szCs w:val="18"/>
              </w:rPr>
              <w:t>94%</w:t>
            </w:r>
          </w:p>
        </w:tc>
        <w:tc>
          <w:tcPr>
            <w:tcW w:w="992" w:type="dxa"/>
          </w:tcPr>
          <w:p>
            <w:pPr>
              <w:spacing w:line="380" w:lineRule="exact"/>
              <w:jc w:val="center"/>
              <w:rPr>
                <w:rFonts w:ascii="Cambria" w:hAnsi="Cambria"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spacing w:line="380" w:lineRule="exact"/>
              <w:jc w:val="center"/>
              <w:rPr>
                <w:rFonts w:ascii="Cambria" w:hAnsi="Cambria" w:cs="微软雅黑"/>
                <w:sz w:val="18"/>
                <w:szCs w:val="18"/>
              </w:rPr>
            </w:pPr>
            <w:r>
              <w:rPr>
                <w:rFonts w:ascii="Cambria" w:hAnsi="Cambria" w:cs="Calibri"/>
                <w:sz w:val="18"/>
                <w:szCs w:val="18"/>
              </w:rPr>
              <w:t>获得</w:t>
            </w:r>
            <w:r>
              <w:rPr>
                <w:rFonts w:hint="eastAsia" w:ascii="Cambria" w:hAnsi="Cambria" w:cs="Calibri"/>
                <w:sz w:val="18"/>
                <w:szCs w:val="18"/>
              </w:rPr>
              <w:t>职业资格证书的比例</w:t>
            </w:r>
          </w:p>
        </w:tc>
        <w:tc>
          <w:tcPr>
            <w:tcW w:w="1134" w:type="dxa"/>
          </w:tcPr>
          <w:p>
            <w:pPr>
              <w:spacing w:line="380" w:lineRule="exact"/>
              <w:jc w:val="center"/>
              <w:rPr>
                <w:rFonts w:ascii="Cambria" w:hAnsi="Cambria" w:cs="微软雅黑"/>
                <w:sz w:val="18"/>
                <w:szCs w:val="18"/>
              </w:rPr>
            </w:pPr>
          </w:p>
        </w:tc>
        <w:tc>
          <w:tcPr>
            <w:tcW w:w="1559" w:type="dxa"/>
          </w:tcPr>
          <w:p>
            <w:pPr>
              <w:spacing w:line="380" w:lineRule="exact"/>
              <w:jc w:val="center"/>
              <w:rPr>
                <w:rFonts w:ascii="Cambria" w:hAnsi="Cambria" w:cs="微软雅黑"/>
                <w:sz w:val="18"/>
                <w:szCs w:val="18"/>
              </w:rPr>
            </w:pPr>
          </w:p>
        </w:tc>
        <w:tc>
          <w:tcPr>
            <w:tcW w:w="1315" w:type="dxa"/>
          </w:tcPr>
          <w:p>
            <w:pPr>
              <w:spacing w:line="380" w:lineRule="exact"/>
              <w:jc w:val="center"/>
              <w:rPr>
                <w:rFonts w:ascii="Cambria" w:hAnsi="Cambria" w:cs="微软雅黑"/>
                <w:sz w:val="18"/>
                <w:szCs w:val="18"/>
              </w:rPr>
            </w:pPr>
            <w:r>
              <w:rPr>
                <w:rFonts w:hint="eastAsia" w:ascii="Cambria" w:hAnsi="Cambria" w:cs="微软雅黑"/>
                <w:sz w:val="18"/>
                <w:szCs w:val="18"/>
              </w:rPr>
              <w:t>3</w:t>
            </w:r>
            <w:r>
              <w:rPr>
                <w:rFonts w:ascii="Cambria" w:hAnsi="Cambria" w:cs="微软雅黑"/>
                <w:sz w:val="18"/>
                <w:szCs w:val="18"/>
              </w:rPr>
              <w:t>2%</w:t>
            </w:r>
          </w:p>
        </w:tc>
        <w:tc>
          <w:tcPr>
            <w:tcW w:w="1378" w:type="dxa"/>
          </w:tcPr>
          <w:p>
            <w:pPr>
              <w:spacing w:line="380" w:lineRule="exact"/>
              <w:jc w:val="center"/>
              <w:rPr>
                <w:rFonts w:ascii="Cambria" w:hAnsi="Cambria" w:cs="微软雅黑"/>
                <w:sz w:val="18"/>
                <w:szCs w:val="18"/>
              </w:rPr>
            </w:pPr>
            <w:r>
              <w:rPr>
                <w:rFonts w:hint="eastAsia" w:ascii="Cambria" w:hAnsi="Cambria" w:cs="微软雅黑"/>
                <w:sz w:val="18"/>
                <w:szCs w:val="18"/>
              </w:rPr>
              <w:t>6</w:t>
            </w:r>
            <w:r>
              <w:rPr>
                <w:rFonts w:ascii="Cambria" w:hAnsi="Cambria" w:cs="微软雅黑"/>
                <w:sz w:val="18"/>
                <w:szCs w:val="18"/>
              </w:rPr>
              <w:t>0%</w:t>
            </w:r>
          </w:p>
        </w:tc>
        <w:tc>
          <w:tcPr>
            <w:tcW w:w="992" w:type="dxa"/>
          </w:tcPr>
          <w:p>
            <w:pPr>
              <w:spacing w:line="380" w:lineRule="exact"/>
              <w:jc w:val="center"/>
              <w:rPr>
                <w:rFonts w:ascii="Cambria" w:hAnsi="Cambria" w:cs="微软雅黑"/>
                <w:sz w:val="18"/>
                <w:szCs w:val="18"/>
              </w:rPr>
            </w:pPr>
            <w:r>
              <w:rPr>
                <w:rFonts w:hint="eastAsia" w:ascii="Cambria" w:hAnsi="Cambria" w:cs="微软雅黑"/>
                <w:sz w:val="18"/>
                <w:szCs w:val="18"/>
              </w:rPr>
              <w:t>偏低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spacing w:line="380" w:lineRule="exact"/>
              <w:jc w:val="center"/>
              <w:rPr>
                <w:rFonts w:ascii="Cambria" w:hAnsi="Cambria" w:cs="Calibri"/>
                <w:sz w:val="18"/>
                <w:szCs w:val="18"/>
              </w:rPr>
            </w:pPr>
            <w:r>
              <w:rPr>
                <w:rFonts w:hint="eastAsia" w:ascii="Cambria" w:hAnsi="Cambria" w:cs="Calibri"/>
                <w:sz w:val="18"/>
                <w:szCs w:val="18"/>
              </w:rPr>
              <w:t>对母校的满意度</w:t>
            </w:r>
          </w:p>
        </w:tc>
        <w:tc>
          <w:tcPr>
            <w:tcW w:w="1134" w:type="dxa"/>
          </w:tcPr>
          <w:p>
            <w:pPr>
              <w:spacing w:line="380" w:lineRule="exact"/>
              <w:jc w:val="center"/>
              <w:rPr>
                <w:rFonts w:ascii="Cambria" w:hAnsi="Cambria" w:cs="Calibri"/>
                <w:sz w:val="18"/>
                <w:szCs w:val="18"/>
              </w:rPr>
            </w:pPr>
          </w:p>
        </w:tc>
        <w:tc>
          <w:tcPr>
            <w:tcW w:w="1559" w:type="dxa"/>
          </w:tcPr>
          <w:p>
            <w:pPr>
              <w:spacing w:line="380" w:lineRule="exact"/>
              <w:jc w:val="center"/>
              <w:rPr>
                <w:rFonts w:ascii="Cambria" w:hAnsi="Cambria" w:cs="Calibri"/>
                <w:sz w:val="18"/>
                <w:szCs w:val="18"/>
              </w:rPr>
            </w:pPr>
          </w:p>
        </w:tc>
        <w:tc>
          <w:tcPr>
            <w:tcW w:w="1315" w:type="dxa"/>
          </w:tcPr>
          <w:p>
            <w:pPr>
              <w:spacing w:line="380" w:lineRule="exact"/>
              <w:jc w:val="center"/>
              <w:rPr>
                <w:rFonts w:ascii="Cambria" w:hAnsi="Cambria" w:cs="Calibri"/>
                <w:sz w:val="18"/>
                <w:szCs w:val="18"/>
              </w:rPr>
            </w:pPr>
            <w:r>
              <w:rPr>
                <w:rFonts w:hint="eastAsia" w:ascii="Cambria" w:hAnsi="Cambria" w:cs="Calibri"/>
                <w:sz w:val="18"/>
                <w:szCs w:val="18"/>
              </w:rPr>
              <w:t>94</w:t>
            </w:r>
            <w:r>
              <w:rPr>
                <w:rFonts w:ascii="Cambria" w:hAnsi="Cambria" w:cs="微软雅黑"/>
                <w:sz w:val="18"/>
                <w:szCs w:val="18"/>
              </w:rPr>
              <w:t>%</w:t>
            </w:r>
          </w:p>
        </w:tc>
        <w:tc>
          <w:tcPr>
            <w:tcW w:w="1378" w:type="dxa"/>
          </w:tcPr>
          <w:p>
            <w:pPr>
              <w:spacing w:line="380" w:lineRule="exact"/>
              <w:jc w:val="center"/>
              <w:rPr>
                <w:rFonts w:ascii="Cambria" w:hAnsi="Cambria" w:cs="Calibri"/>
                <w:sz w:val="18"/>
                <w:szCs w:val="18"/>
              </w:rPr>
            </w:pPr>
            <w:r>
              <w:rPr>
                <w:rFonts w:hint="eastAsia" w:ascii="Cambria" w:hAnsi="Cambria" w:cs="Calibri"/>
                <w:sz w:val="18"/>
                <w:szCs w:val="18"/>
              </w:rPr>
              <w:t>95</w:t>
            </w:r>
            <w:r>
              <w:rPr>
                <w:rFonts w:ascii="Cambria" w:hAnsi="Cambria" w:cs="微软雅黑"/>
                <w:sz w:val="18"/>
                <w:szCs w:val="18"/>
              </w:rPr>
              <w:t>%</w:t>
            </w:r>
          </w:p>
        </w:tc>
        <w:tc>
          <w:tcPr>
            <w:tcW w:w="992" w:type="dxa"/>
          </w:tcPr>
          <w:p>
            <w:pPr>
              <w:spacing w:line="380" w:lineRule="exact"/>
              <w:jc w:val="center"/>
              <w:rPr>
                <w:rFonts w:ascii="Cambria" w:hAnsi="Cambria"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spacing w:line="380" w:lineRule="exact"/>
              <w:jc w:val="center"/>
              <w:rPr>
                <w:rFonts w:ascii="Cambria" w:hAnsi="Cambria" w:cs="Calibri"/>
                <w:sz w:val="18"/>
                <w:szCs w:val="18"/>
              </w:rPr>
            </w:pPr>
            <w:r>
              <w:rPr>
                <w:rFonts w:hint="eastAsia" w:ascii="Cambria" w:hAnsi="Cambria" w:cs="Calibri"/>
                <w:sz w:val="18"/>
                <w:szCs w:val="18"/>
              </w:rPr>
              <w:t>学生工作满意度</w:t>
            </w:r>
          </w:p>
        </w:tc>
        <w:tc>
          <w:tcPr>
            <w:tcW w:w="1134" w:type="dxa"/>
          </w:tcPr>
          <w:p>
            <w:pPr>
              <w:spacing w:line="380" w:lineRule="exact"/>
              <w:jc w:val="center"/>
              <w:rPr>
                <w:rFonts w:ascii="Cambria" w:hAnsi="Cambria" w:cs="Calibri"/>
                <w:sz w:val="18"/>
                <w:szCs w:val="18"/>
              </w:rPr>
            </w:pPr>
          </w:p>
        </w:tc>
        <w:tc>
          <w:tcPr>
            <w:tcW w:w="1559" w:type="dxa"/>
          </w:tcPr>
          <w:p>
            <w:pPr>
              <w:spacing w:line="380" w:lineRule="exact"/>
              <w:jc w:val="center"/>
              <w:rPr>
                <w:rFonts w:ascii="Cambria" w:hAnsi="Cambria" w:cs="Calibri"/>
                <w:sz w:val="18"/>
                <w:szCs w:val="18"/>
              </w:rPr>
            </w:pPr>
          </w:p>
        </w:tc>
        <w:tc>
          <w:tcPr>
            <w:tcW w:w="1315" w:type="dxa"/>
          </w:tcPr>
          <w:p>
            <w:pPr>
              <w:spacing w:line="380" w:lineRule="exact"/>
              <w:jc w:val="center"/>
              <w:rPr>
                <w:rFonts w:ascii="Cambria" w:hAnsi="Cambria" w:cs="Calibri"/>
                <w:sz w:val="18"/>
                <w:szCs w:val="18"/>
              </w:rPr>
            </w:pPr>
            <w:r>
              <w:rPr>
                <w:rFonts w:hint="eastAsia" w:ascii="Cambria" w:hAnsi="Cambria" w:cs="Calibri"/>
                <w:sz w:val="18"/>
                <w:szCs w:val="18"/>
              </w:rPr>
              <w:t>93%</w:t>
            </w:r>
          </w:p>
        </w:tc>
        <w:tc>
          <w:tcPr>
            <w:tcW w:w="1378" w:type="dxa"/>
          </w:tcPr>
          <w:p>
            <w:pPr>
              <w:spacing w:line="380" w:lineRule="exact"/>
              <w:jc w:val="center"/>
              <w:rPr>
                <w:rFonts w:ascii="Cambria" w:hAnsi="Cambria" w:cs="Calibri"/>
                <w:sz w:val="18"/>
                <w:szCs w:val="18"/>
              </w:rPr>
            </w:pPr>
            <w:r>
              <w:rPr>
                <w:rFonts w:hint="eastAsia" w:ascii="Cambria" w:hAnsi="Cambria" w:cs="Calibri"/>
                <w:sz w:val="18"/>
                <w:szCs w:val="18"/>
              </w:rPr>
              <w:t>93%</w:t>
            </w:r>
          </w:p>
        </w:tc>
        <w:tc>
          <w:tcPr>
            <w:tcW w:w="992" w:type="dxa"/>
          </w:tcPr>
          <w:p>
            <w:pPr>
              <w:spacing w:line="380" w:lineRule="exact"/>
              <w:jc w:val="center"/>
              <w:rPr>
                <w:rFonts w:ascii="Cambria" w:hAnsi="Cambria"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spacing w:line="380" w:lineRule="exact"/>
              <w:jc w:val="center"/>
              <w:rPr>
                <w:rFonts w:ascii="Cambria" w:hAnsi="Cambria" w:cs="Calibri"/>
                <w:sz w:val="18"/>
                <w:szCs w:val="18"/>
              </w:rPr>
            </w:pPr>
            <w:r>
              <w:rPr>
                <w:rFonts w:hint="eastAsia" w:ascii="Cambria" w:hAnsi="Cambria" w:cs="Calibri"/>
                <w:sz w:val="18"/>
                <w:szCs w:val="18"/>
              </w:rPr>
              <w:t>岗位适应性</w:t>
            </w:r>
          </w:p>
        </w:tc>
        <w:tc>
          <w:tcPr>
            <w:tcW w:w="1134" w:type="dxa"/>
          </w:tcPr>
          <w:p>
            <w:pPr>
              <w:spacing w:line="380" w:lineRule="exact"/>
              <w:jc w:val="center"/>
              <w:rPr>
                <w:rFonts w:ascii="Cambria" w:hAnsi="Cambria" w:cs="Calibri"/>
                <w:sz w:val="18"/>
                <w:szCs w:val="18"/>
              </w:rPr>
            </w:pPr>
          </w:p>
        </w:tc>
        <w:tc>
          <w:tcPr>
            <w:tcW w:w="1559" w:type="dxa"/>
          </w:tcPr>
          <w:p>
            <w:pPr>
              <w:spacing w:line="380" w:lineRule="exact"/>
              <w:jc w:val="center"/>
              <w:rPr>
                <w:rFonts w:ascii="Cambria" w:hAnsi="Cambria" w:cs="Calibri"/>
                <w:sz w:val="18"/>
                <w:szCs w:val="18"/>
              </w:rPr>
            </w:pPr>
          </w:p>
        </w:tc>
        <w:tc>
          <w:tcPr>
            <w:tcW w:w="1315" w:type="dxa"/>
          </w:tcPr>
          <w:p>
            <w:pPr>
              <w:spacing w:line="380" w:lineRule="exact"/>
              <w:jc w:val="center"/>
              <w:rPr>
                <w:rFonts w:ascii="Cambria" w:hAnsi="Cambria" w:cs="Calibri"/>
                <w:sz w:val="18"/>
                <w:szCs w:val="18"/>
              </w:rPr>
            </w:pPr>
            <w:r>
              <w:rPr>
                <w:rFonts w:hint="eastAsia" w:ascii="Cambria" w:hAnsi="Cambria" w:cs="Calibri"/>
                <w:sz w:val="18"/>
                <w:szCs w:val="18"/>
              </w:rPr>
              <w:t>92%</w:t>
            </w:r>
          </w:p>
        </w:tc>
        <w:tc>
          <w:tcPr>
            <w:tcW w:w="1378" w:type="dxa"/>
          </w:tcPr>
          <w:p>
            <w:pPr>
              <w:spacing w:line="380" w:lineRule="exact"/>
              <w:jc w:val="center"/>
              <w:rPr>
                <w:rFonts w:ascii="Cambria" w:hAnsi="Cambria" w:cs="Calibri"/>
                <w:sz w:val="18"/>
                <w:szCs w:val="18"/>
              </w:rPr>
            </w:pPr>
            <w:r>
              <w:rPr>
                <w:rFonts w:hint="eastAsia" w:ascii="Cambria" w:hAnsi="Cambria" w:cs="Calibri"/>
                <w:sz w:val="18"/>
                <w:szCs w:val="18"/>
              </w:rPr>
              <w:t>94%</w:t>
            </w:r>
          </w:p>
        </w:tc>
        <w:tc>
          <w:tcPr>
            <w:tcW w:w="992" w:type="dxa"/>
          </w:tcPr>
          <w:p>
            <w:pPr>
              <w:spacing w:line="380" w:lineRule="exact"/>
              <w:jc w:val="center"/>
              <w:rPr>
                <w:rFonts w:ascii="Cambria" w:hAnsi="Cambria"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235" w:type="dxa"/>
            <w:shd w:val="clear" w:color="auto" w:fill="DAEEF3"/>
          </w:tcPr>
          <w:p>
            <w:pPr>
              <w:widowControl/>
              <w:jc w:val="center"/>
              <w:rPr>
                <w:rFonts w:ascii="Cambria" w:hAnsi="Cambria" w:cs="Calibri"/>
                <w:sz w:val="18"/>
                <w:szCs w:val="18"/>
              </w:rPr>
            </w:pPr>
            <w:r>
              <w:rPr>
                <w:rFonts w:hint="eastAsia" w:ascii="Cambria" w:hAnsi="Cambria" w:cs="Calibri"/>
                <w:sz w:val="18"/>
                <w:szCs w:val="18"/>
              </w:rPr>
              <w:t>对母校的推荐度</w:t>
            </w:r>
          </w:p>
        </w:tc>
        <w:tc>
          <w:tcPr>
            <w:tcW w:w="1134" w:type="dxa"/>
          </w:tcPr>
          <w:p>
            <w:pPr>
              <w:spacing w:line="380" w:lineRule="exact"/>
              <w:jc w:val="center"/>
              <w:rPr>
                <w:rFonts w:ascii="Cambria" w:hAnsi="Cambria" w:cs="Calibri"/>
                <w:sz w:val="18"/>
                <w:szCs w:val="18"/>
              </w:rPr>
            </w:pPr>
            <w:r>
              <w:rPr>
                <w:rFonts w:hint="eastAsia" w:ascii="Cambria" w:hAnsi="Cambria" w:cs="Calibri"/>
                <w:sz w:val="18"/>
                <w:szCs w:val="18"/>
              </w:rPr>
              <w:t>46%</w:t>
            </w:r>
          </w:p>
        </w:tc>
        <w:tc>
          <w:tcPr>
            <w:tcW w:w="1559" w:type="dxa"/>
          </w:tcPr>
          <w:p>
            <w:pPr>
              <w:spacing w:line="380" w:lineRule="exact"/>
              <w:jc w:val="center"/>
              <w:rPr>
                <w:rFonts w:ascii="Cambria" w:hAnsi="Cambria" w:cs="Calibri"/>
                <w:sz w:val="18"/>
                <w:szCs w:val="18"/>
              </w:rPr>
            </w:pPr>
            <w:r>
              <w:rPr>
                <w:rFonts w:hint="eastAsia" w:ascii="Cambria" w:hAnsi="Cambria" w:cs="Calibri"/>
                <w:sz w:val="18"/>
                <w:szCs w:val="18"/>
              </w:rPr>
              <w:t>65%</w:t>
            </w:r>
          </w:p>
        </w:tc>
        <w:tc>
          <w:tcPr>
            <w:tcW w:w="1315" w:type="dxa"/>
          </w:tcPr>
          <w:p>
            <w:pPr>
              <w:spacing w:line="380" w:lineRule="exact"/>
              <w:jc w:val="center"/>
              <w:rPr>
                <w:rFonts w:ascii="Cambria" w:hAnsi="Cambria" w:cs="Calibri"/>
                <w:sz w:val="18"/>
                <w:szCs w:val="18"/>
              </w:rPr>
            </w:pPr>
            <w:r>
              <w:rPr>
                <w:rFonts w:hint="eastAsia" w:ascii="Cambria" w:hAnsi="Cambria" w:cs="Calibri"/>
                <w:sz w:val="18"/>
                <w:szCs w:val="18"/>
              </w:rPr>
              <w:t>59%</w:t>
            </w:r>
          </w:p>
        </w:tc>
        <w:tc>
          <w:tcPr>
            <w:tcW w:w="1378" w:type="dxa"/>
          </w:tcPr>
          <w:p>
            <w:pPr>
              <w:spacing w:line="380" w:lineRule="exact"/>
              <w:jc w:val="center"/>
              <w:rPr>
                <w:rFonts w:ascii="Cambria" w:hAnsi="Cambria" w:cs="Calibri"/>
                <w:sz w:val="18"/>
                <w:szCs w:val="18"/>
              </w:rPr>
            </w:pPr>
            <w:r>
              <w:rPr>
                <w:rFonts w:hint="eastAsia" w:ascii="Cambria" w:hAnsi="Cambria" w:cs="Calibri"/>
                <w:sz w:val="18"/>
                <w:szCs w:val="18"/>
              </w:rPr>
              <w:t>74%</w:t>
            </w:r>
          </w:p>
        </w:tc>
        <w:tc>
          <w:tcPr>
            <w:tcW w:w="992" w:type="dxa"/>
          </w:tcPr>
          <w:p>
            <w:pPr>
              <w:spacing w:line="380" w:lineRule="exact"/>
              <w:jc w:val="center"/>
              <w:rPr>
                <w:rFonts w:ascii="Cambria" w:hAnsi="Cambria" w:cs="微软雅黑"/>
                <w:sz w:val="18"/>
                <w:szCs w:val="18"/>
              </w:rPr>
            </w:pPr>
          </w:p>
        </w:tc>
      </w:tr>
    </w:tbl>
    <w:p>
      <w:pPr>
        <w:pStyle w:val="32"/>
        <w:spacing w:line="360" w:lineRule="auto"/>
        <w:ind w:firstLine="480" w:firstLineChars="200"/>
        <w:jc w:val="both"/>
        <w:rPr>
          <w:rFonts w:ascii="宋体" w:hAnsi="宋体" w:cs="宋体"/>
          <w:b w:val="0"/>
          <w:bCs w:val="0"/>
          <w:sz w:val="24"/>
        </w:rPr>
      </w:pP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麦可思报告提供的2021届调研时间为2021年9月18日开始，较上届有所提前，此次调研时间较往届提前了一个多月，本校2021届毕业去向落实率、月收入等指标可能受调研时间影响，数据仅供参考。结合我院的情况，有以下几个方面需要关注：</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（一）存在的主要问题</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1.毕业生的工作与专业相关度存在差异</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我院2021届毕业生工作与专业相关度为62%（全校平均值82%），2021届毕业生工作与专业相关度为56%（全校平均值77%），由具体数据来看，“专业工作不符合自己的职业期待”而选择不相关专业工作的毕业生有11%，其次是“迫于现实先就业再择业”的毕业生，比例为42%。还有毕业生因“达不到专业相关工作的要求”的占13％，均低于校平均水平，因就业率统计数据与年终就业率数据有出入，所以工作与专业相关度指标也会存在差异。</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2.毕业生的月收入水平处于下游</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月收入从3406提高到4065，有逐步提高趋势。我院2021届毕业生中54%为江苏省外师范类学生，主要从事小学教育或培训机构工作，数据显示薪资水平受职行业特点影响较大，这两份工作的月收入均处于行业中下游水平。</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3.学院毕业去向落实率处于下降趋势</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毕业去向落实率是反映毕业生就业落实情况的指标，是培养目标达成度在供求数量上的反映。本校 2018 届—2021 届毕业生的毕业去向落实率分别为 91.9%、93.1%、85.5%、76.0%。我院2018届毕业生的毕业去向落实率，麦可思报告显示无学院数据，2018届毕业生的毕业去向落实率78%，略高于校均值76%。从去向来看，本届未就业毕业生中接近半数在准备升学。会计专业学生的毕业去向落实率为92%。</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4.学院毕业生中就业稳定性较高</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数据反映了毕业生的就业稳定性。本校 2018 届—2021 届毕业生的离职率（分别为 29%、24%、26%、27%） 均在 25%左右，毕业生就业稳定性较高，有利于毕业生的中长期职业发展和校企深度合作。</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（二）存在的主要问题原因分析</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1.毕业生就业方向与专业相关度方面</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根据两届数据显示分析，我院毕业生的工作与专业相关度整体低于校平均水平。专业相关度低的可能原因，分析如下：①毕业生选择与专业无关工作的主要原因是“职业期待不符”和“迫于就业压力“。②人才培养与市场需求脱节；工作与专业相关度调查数据偏低，也反映了人才培养不能满足行业企业的用人需求，人才培养与市场需求脱节。学院教育的专业定位、课程设置、教学方法与教学过程、教学质量等方面均需要进行一定的调整。</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2.在一定程度上受疫情的影响方面</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近两年毕业生受到疫情的影响，我院生源地外省的毕业生选择暂留连云港工作，等待疫情好转再回当地工作，正因为是暂时留在连云港工作；并且在就业岗位方面，就业岗位的数量主要取决于经济发展水平和速度，由于新冠肺炎疫情的严重冲击，全球经济急速下滑，大量企业经营困难，只能进行大面积的裁员，或大幅度减少招聘人数以应对危机，导致毕业生在找工作时对专业的匹配度、相关度没有太高要求。</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3.在不同专业工作相关度存在差距方面</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val="0"/>
          <w:bCs w:val="0"/>
          <w:kern w:val="2"/>
          <w:sz w:val="24"/>
          <w:szCs w:val="24"/>
          <w:lang w:val="en-US" w:eastAsia="zh-CN" w:bidi="ar-SA"/>
        </w:rPr>
        <w:t>不同专业的工作与专业相关度具有差距，由于2021届毕业生省外生源人数较多来自偏远地区的学生，如软件技术专业和大数据技术与应用专业回到家乡落后地区工作，这些专业知识无法匹配到当地相关的社会岗位，导致学院毕业生的毕业去向落实率为78%，远低于会计专业学生的92%。其次，会计专业学生因为获取职业资格证书的比例低，没有相关职业资格证书无法从事与会计专业相关的工作。因此，在不同专业工作相关度方面会出现较大的差距的主要原因主要有当地社会不同职业需求导致进行人力资源分配有所不同以及在专业知识学习的差距导致工作相关度出现差距问题。</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4.学院创新创业教育方面</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坚持学生全面发展，以服务社会需求为根本准则，融合社会主义核心价值观教育与素质教育、特色办学与社会需求、创新创业教育与专业教育、质量标准与个性发展，协同实践教育与行业需求，将创新创业教育融入人才培养全过程。数据显示2021 届毕业生接受的创新创业教育主要是创新创业课程（84%），其后依次是创新创业竞赛/训练（28%）、创新创业实践活动（20%），其有效性分别为 78%、88%、91%。学院可以给提供更多的实习机会，开展更有效、形式丰富地创新创业教育。</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5.在省外生源质量方面</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近几年，我校毕业生属于外省生源的比例由 2018 届的 22.1%不断提升至 2021 届的 56.6%，整体上升幅度较大，并且吸引优质生源、提高报考质量应成为我校在招生宣传中的核心。我校2021届毕业生有45.7%在本省就业，外省生源接近八成（78.5%）并未留在本省就业，均选择回生源地就业，学院可以通过及时了解就业意向，建立一对一的就业帮扶，提高省外生源的就业率以及就业质量。</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6.在离职率方面</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学院毕业生离职率在行业中处于中等水平，本校 2021 届毕业生离职的主要原因为薪资福利偏低和个人发展空间不够。由此可见，目前在大环境下，我国毕业生就业结构性矛盾依然突出，毕业生的人数、专业、技能与就业市场用人单位的需求不匹配等因素，便会出现毕业生离职现象。</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（三）主要整改措施</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1.采取多种措施，提高学院就业与专业的相关度</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影响毕业生工作与专业相关度的有主客观因素，主观因素包括专业工作不符合自己的职业期待，比如对薪资待遇、时间不满，对薪酬过高、宁愿向工资高的其他行业跳槽。客观因素包括：疫情的影响，严峻就业形势，影响专业工作招聘岗位数量；大学生自身职业能力和综合素质等。</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针对以上原因，需要多举措改善此项工作：（1）应注重学生综合能力的培养；随着时代的发展，社会对人才的需求已经逐步转向知识，能力。素养相结合的综合型人才，那这就需要学校在课程体系中合理安排相关课程以适应企业的需求。在教学内容方面，学校也应注重学生创新能力、自主学习能力的培养，从而促进学生知识迁移能力和职场适应能力的发展。此外，也应该多多引导学生利用假期进行实习、社会实践对了解专业特点，积累实践经验有切实的帮助，为就业做好充分的准备。（2）引导学生了解社会需求信息，尽早进行职业规划；学生、家长、学校都应随时关注社会的发展信息，以便考虑专业方向，尽早对学生的职业发展生涯进行规划。学生可以先了解自己对什么专业感兴趣，然后接触一些这个行业的在职人员，通过与他们交流来确认是否对这个职业接受，条件允许的话，可以尝试在个岗位实习一段时间，以便更深入的了解这个行业，必要的社会实践，实习对了解专业特点有实际的帮助。学生通过学习，适应现阶段岗位紧缺的人才需求，降低对本专业工作岗位的期望值，明确自身的职业发展规划。</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2.进一步完善就业指导以及学院创新创业教育服务</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结合每年的江苏省“互联网+”创新创业大赛，结合各地“双创”政策宣传，引导学生转变就业观，鼓励学生参加创新创业实践，鼓励高职毕业生创业，以创业带动就业，解决学生就业难问题是高职院校创新创业教育的主要动因。就业指导作为高职教育重要组成部分，引导学生明确职业目标，树立正确的职业价值观，培养学生增强职业竞争力，为社会和企业培养合格的职业人，以满足现代企业需要的具有“创新、创造、创业”为核心的高素质学生。将创新创业教育融入到就业指导教育之中，将创业者素质和能力培养融入就业指导全过程全方位培养学生创新精神和创业意识，培养学生具有企业家精神的优秀品格，把“创新、创业”的种子植入学生心中，在未来的职业世界开创自己的事业，实现自身价值</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3.重点关注就业困难学生，引导特殊群体学生就业</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val="0"/>
          <w:bCs w:val="0"/>
          <w:kern w:val="2"/>
          <w:sz w:val="24"/>
          <w:szCs w:val="24"/>
          <w:lang w:val="en-US" w:eastAsia="zh-CN" w:bidi="ar-SA"/>
        </w:rPr>
        <w:t>积极转变工作职能，从单一指导向指导与服务并重转变。毕业年级辅导员要及时了解和掌握毕业生的思想状况和就业状况，对家庭困难、就业困难的毕业生要加强人文关怀和心理疏导，要准确掌握建档立卡贫困家庭、少数民族、身体残疾等毕业生情况，建立帮扶台账，做到“一对一”精准帮扶。</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4.以学生为中心，多方面促进就业</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要积极开展疫情防控常态化下校园招聘会、专场宣讲会，回访用人单位和开拓就业市场，挖掘校友资源，拓宽就业信息渠道，精准推送岗位信息，建立高质量实习就业基地，打通实习与就业之间壁垒。要积极挖掘新产业新业态新模式中的就业机会，认真研究“双减”政策后体育培训行业发展态势，根据我校毕业生专业特点，加强综合素质培训，增强毕业生就业能力和竞争力，引导毕业生在多个领域灵活就业。同时，要做好毕业生劳动保障权益政策的解读和指导。</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 围绕学生自身展开，从根源解决离职问题</w:t>
      </w:r>
    </w:p>
    <w:p>
      <w:pPr>
        <w:pStyle w:val="32"/>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做好职业生涯规划教育，形成全员化、全程化、系统化的职业规划教育体系，学院应重视职业生涯规划教育，并将职业生涯规划教育前置新生入学阶段，从学生一入学就开展职业生涯规划教育，并将职业生涯规划教育贯穿于整个学习生活中，针对各年级学生的不同特点开设课程进行指导。</w:t>
      </w:r>
    </w:p>
    <w:p>
      <w:pPr>
        <w:pStyle w:val="32"/>
        <w:keepNext w:val="0"/>
        <w:keepLines w:val="0"/>
        <w:pageBreakBefore w:val="0"/>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cs="宋体"/>
          <w:b/>
          <w:bCs/>
          <w:kern w:val="2"/>
          <w:sz w:val="24"/>
          <w:szCs w:val="24"/>
          <w:lang w:val="en-US" w:eastAsia="zh-CN" w:bidi="ar-SA"/>
        </w:rPr>
        <w:t>三、教学培养过程反馈</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（一）存在问题</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1.教学建设效果评价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数据显示：学院毕业生对培养目标总体了解度（84）、毕业要求总体了解度（95）、教学的满意度（85），均低于全校平均水平。</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原因分析：（1）师范类招生数量增大，给教育见、实习带来压力，采用分批实习进行；非师范类专业（软件、大数据、动漫）本地相关大中型企业较少，多位规模较小的公司，能提供见、实习的岗位比较有限，对毕业生的实习实践带来一定的影响。（2）非师范专业的教学中，部分专业课程仍采用讲授为主的教学方式，动手操作较少。计算机类课程虽然采用案例教学，大部分案例来自于教材，教师参与行业企业一线的工作经验较少，人才培养的课程体系与社会需求存在脱节情况。（3）实验实训条件不足，专业机房设备陈旧，专业课教学基本依附于公共机房，不能很好满足部分专业的实践要求（如动漫和大数据专业）。</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2.核心课程建设效果评价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数据显示：学院的专业核心课程有效性综合评价中的重要度（85）和满足度（72），低于全校平均水平。</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原因分析：2021届师范类专业毕业生认为课程内容中主要是实践性不足、课程配套学习资源不够丰富。2021届毕业生认为专业课程对自身考取职业技能证书的帮助程度为96%。主要原因有：（1）各专业人才培养方案的制订过程中，相关行业企业的参与度还不够，未能深入到具体课程建设中去。（2）各专业人才培养方案的课程体系中，与职业资格证书和1+X证书的融合性不够。</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3.教学改进需要</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数据显示：2021届毕业生认为教学最需要改进的是“实习和实践环节不够”（56%），其后依次是“无法调动学生学习兴趣”（39%）、“课堂上让学生参与不够”（34%）等。学院毕业生对教学中学生学习兴趣的调动（48）、多媒体/网络教学效果（31）的改进需求高于本校平均水平。</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原因分析：（1）学院的数学教育专业和会计专业大部分课程以理论讲授为主，操作性不强。数学教育专业学生均为省外生源，会计专业学生大部分为云南、贵州等省外生源，基础相对比较薄弱，导致部分学生的学习积极性不高。（2）部分教师的课件更新不及时，或者直接使用教材配备的课件，未能根据班级学生的实际情况进行修改，不能达到教学课件应有的作用和效果。</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4.师生互动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2021届毕业生与任课教师课下高频交流（包括“每周至少一次”、“每月至少一次”交流）的比例（62%）较2020届（60%）略有上升。学院师生高频交</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流的比例为60%，低于全校平均水平。</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原因分析：（1）部分教师教学观念的传统化，忽视学生的主体地位和个性发展需求，强调知识的灌输，造成师生互动的主体比例失调。（2）互动教学内容和教学方式单一化，教师着重于课本知识的传授，缺乏与学生内心沟通和情感交流。</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5.毕业生获得职业资格证书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数据显示：学院2021届毕业生职业资格证书获取比例为32%，低于学校平均水平。</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原因分析：（1）会计专业的初级会计师证书考取比例较低（不足10%），需要进一步对教学效果进行评价。（2）软件、大数据专业的可以考取的职业资格证书主要是计算机软件水平考试，通过率较低。</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（二）改进措施</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1.专业建设方面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（1）加大师资队伍建设力度，鼓励教师外出培训学习、去相关企业锻炼。</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（2）强化与本地行业企业的对接与联系，聘请行业企业的专家作为兼课教师，建设一批实用的校外实习实训基地。</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2.教学需求方面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（1）加大实验实训室的建设，改善实践条件。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（2）加强教学过程管理，在教学过程中灵活运用研讨式、探究式等方法，更加突出以学生为中心的教学，进一步提高教学效率。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（3）创新教学方式方法，发挥教学平台资源优势，合理利用信息化教学手段，提升教学质量和效果。</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3.师生互动方面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（1）进一步转变教师教学观念，努力营造互动氛围。</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（2）优化课程设置，做好教师工作积极性的激励。</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（3）加强课堂教学的评估与反馈，提高教学反思。</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（4）加强学生专业学习方面的引导，鼓励学生进入实验室，积极参与技能训练、技能竞赛。</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4.职业资格方面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（1）建立多种形式的职业资格认证体系，积极利用好社会资源，为学生提供职业技能等级证书、职业资格证书的培训和考证。</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（2）在人才培养方案的课程体系中，融入职业资格证书和1+X证书的获取需求，鼓励学生在毕业前考取专业相关的资格证书。</w:t>
      </w:r>
    </w:p>
    <w:p>
      <w:pPr>
        <w:keepNext w:val="0"/>
        <w:keepLines w:val="0"/>
        <w:pageBreakBefore w:val="0"/>
        <w:widowControl w:val="0"/>
        <w:kinsoku/>
        <w:wordWrap/>
        <w:overflowPunct/>
        <w:topLinePunct w:val="0"/>
        <w:autoSpaceDE/>
        <w:autoSpaceDN/>
        <w:bidi w:val="0"/>
        <w:adjustRightInd/>
        <w:snapToGrid w:val="0"/>
        <w:spacing w:line="360" w:lineRule="auto"/>
        <w:ind w:firstLine="3600" w:firstLineChars="15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3600" w:firstLineChars="1500"/>
        <w:textAlignment w:val="auto"/>
        <w:rPr>
          <w:rFonts w:hint="eastAsia" w:ascii="宋体" w:hAnsi="宋体" w:eastAsia="宋体" w:cs="宋体"/>
          <w:sz w:val="24"/>
          <w:szCs w:val="24"/>
        </w:rPr>
      </w:pPr>
    </w:p>
    <w:p>
      <w:pPr>
        <w:spacing w:line="360" w:lineRule="auto"/>
        <w:jc w:val="center"/>
        <w:rPr>
          <w:rFonts w:hint="default" w:eastAsiaTheme="minorEastAsia"/>
          <w:sz w:val="24"/>
          <w:szCs w:val="24"/>
          <w:lang w:val="en-US" w:eastAsia="zh-CN"/>
        </w:rPr>
      </w:pPr>
      <w:r>
        <w:rPr>
          <w:rFonts w:hint="eastAsia" w:asciiTheme="minorEastAsia" w:hAnsiTheme="minorEastAsia" w:eastAsiaTheme="minorEastAsia" w:cstheme="minorEastAsia"/>
          <w:b/>
          <w:bCs/>
          <w:kern w:val="2"/>
          <w:sz w:val="28"/>
          <w:szCs w:val="28"/>
          <w:lang w:val="en-US" w:eastAsia="zh-CN" w:bidi="ar-SA"/>
        </w:rPr>
        <w:t>外语与商务学院（国际教育学院）毕业生培养质量年度整改报告</w:t>
      </w:r>
      <w:r>
        <w:rPr>
          <w:rFonts w:hint="eastAsia"/>
          <w:sz w:val="24"/>
          <w:szCs w:val="24"/>
          <w:lang w:val="en-US" w:eastAsia="zh-CN"/>
        </w:rPr>
        <w:t xml:space="preserve">  </w:t>
      </w:r>
    </w:p>
    <w:p>
      <w:pPr>
        <w:keepNext w:val="0"/>
        <w:keepLines w:val="0"/>
        <w:pageBreakBefore w:val="0"/>
        <w:tabs>
          <w:tab w:val="right" w:pos="8674"/>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梳理麦可思公司提供的《连云港师范高等专科学校2018届毕业生培养目标达成与职业发展评价报告》和《连云港师范高等专科学校2021应届毕业生培养质量评价报告》中的相关数据，我院对两届毕业生的培养质量整体情况进行了分析和总结，并结合当前的实际情况提出了相应的整改措施。</w:t>
      </w:r>
    </w:p>
    <w:p>
      <w:pPr>
        <w:keepNext w:val="0"/>
        <w:keepLines w:val="0"/>
        <w:pageBreakBefore w:val="0"/>
        <w:tabs>
          <w:tab w:val="right" w:pos="8674"/>
        </w:tabs>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一、基本情况说明</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麦可思公司提供的调查统计数据主要分为两类：各学院毕业生的统计数据和各专业毕业生的统计数据。我院2018届共有学前教育（海本教育）、旅游管理、人力资源管理、报关与国际货运、电子商务、物流管理、旅游英语、商务英语、应用韩语、酒店管理10个专业，毕业生总人数422人，本次麦可思公司调查回收问卷178份，不管是从学院层面还是专业层面来看，对应报告中的指标数据均较为详细完整。而2021届我院虽有商务英语、应用英语、应用韩语、电子商务、旅游管理和酒店管理6个专业，但毕业生总人数只有43人，本次麦可思公司调查回收问卷23份，由于样本数量过少，大量指标数据未能在相应报告中体现。所以，本整改报告以2018届毕业生为重点分析对象，2021届毕业生培养质量相关数据只是略有涉及。</w:t>
      </w:r>
    </w:p>
    <w:p>
      <w:pPr>
        <w:pStyle w:val="10"/>
        <w:keepNext w:val="0"/>
        <w:keepLines w:val="0"/>
        <w:pageBreakBefore w:val="0"/>
        <w:widowControl w:val="0"/>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二、相关数据分析</w:t>
      </w:r>
    </w:p>
    <w:p>
      <w:pPr>
        <w:pStyle w:val="10"/>
        <w:keepNext w:val="0"/>
        <w:keepLines w:val="0"/>
        <w:pageBreakBefore w:val="0"/>
        <w:widowControl w:val="0"/>
        <w:numPr>
          <w:ilvl w:val="0"/>
          <w:numId w:val="0"/>
        </w:numPr>
        <w:pBdr>
          <w:bottom w:val="none" w:color="auto" w:sz="0" w:space="0"/>
        </w:pBdr>
        <w:tabs>
          <w:tab w:val="right" w:pos="8674"/>
          <w:tab w:val="clear" w:pos="4153"/>
          <w:tab w:val="clear" w:pos="8306"/>
        </w:tabs>
        <w:kinsoku/>
        <w:wordWrap/>
        <w:overflowPunct/>
        <w:topLinePunct w:val="0"/>
        <w:autoSpaceDE/>
        <w:autoSpaceDN/>
        <w:bidi w:val="0"/>
        <w:adjustRightInd/>
        <w:snapToGrid w:val="0"/>
        <w:spacing w:line="360" w:lineRule="auto"/>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（一）就业质量分析</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1.毕业去向落实率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毕业去向落实率是反映毕业生就业落实情况的指标，是培养目标达成度在供求数量上的反映。从学院层面看，我院2021届毕业生去向落实率为83%，与美术学院在全校所有学院中并列排名第一。</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2.工作与专业相关度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事工作与所学专业相关的比例，是分析培养的毕业生“学有所用”的情况，反映了就业质量与专业培养目标达成效果的重要指标。从学院层面来看，我院2018届毕业生的工作与专业相关度为37%，相比2017届的33%有所提升。从专业层面来看，商务英语为32% ，报关与国际货运为28% ，人力资源管理为28%，电子商务为22%，应用韩语为20% ，旅游管理专业毕业生的工作与专业相关度相对较低，只有17%，这与近几年来新冠疫情对行业的持续冲击有密切关系。</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3.毕业生职位晋升、速度、收入指标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（1）管理类毕业生的职务层级分布</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学院层面来看，我院2018届毕业生从事事务类和技术类工作的比例较高，均为36%，从事管理类工作的比例为17%，从事营销类工作的比例为11%。从专业层面来看，旅游管理专业毕业生主要从事技术类和管理类工作，均为33%。当然，不同岗位类型的职业发展路径和所需技能有所不同，各专业需要根据毕业生从事的岗位类型，以结果为导向培养学生在毕业后长期发展中所需的能力和素养。</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（2）毕业生的职位晋升情况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毕业生的职位晋升情况反映毕业生的职业发展质量，体现学生成长成才情况，也是专业培养目标达成情况的反映之一。从学院层面来看，我院2018届毕业生毕业三年内的职位晋升比例为73%，在全校所有学院中排名第一。同时，从毕业生毕业三年内职位晋升速度快看，我院2018届毕业生毕业三年内职位晋升速度快的比例为8%，在全校所有学院中排名第三。</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（3）毕业生的月收入</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我院</w:t>
      </w:r>
      <w:r>
        <w:rPr>
          <w:rFonts w:hint="eastAsia" w:ascii="宋体" w:hAnsi="宋体" w:eastAsia="宋体" w:cs="宋体"/>
          <w:sz w:val="24"/>
          <w:szCs w:val="24"/>
        </w:rPr>
        <w:t>2018届毕业生在一流企业就业的比例</w:t>
      </w:r>
      <w:r>
        <w:rPr>
          <w:rFonts w:hint="eastAsia" w:ascii="宋体" w:hAnsi="宋体" w:eastAsia="宋体" w:cs="宋体"/>
          <w:sz w:val="24"/>
          <w:szCs w:val="24"/>
          <w:lang w:val="en-US" w:eastAsia="zh-CN"/>
        </w:rPr>
        <w:t>为</w:t>
      </w:r>
      <w:r>
        <w:rPr>
          <w:rFonts w:hint="eastAsia" w:ascii="宋体" w:hAnsi="宋体" w:eastAsia="宋体" w:cs="宋体"/>
          <w:sz w:val="24"/>
          <w:szCs w:val="24"/>
        </w:rPr>
        <w:t>19%</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在全校所有学院中排名第一，</w:t>
      </w:r>
      <w:r>
        <w:rPr>
          <w:rFonts w:hint="eastAsia" w:ascii="宋体" w:hAnsi="宋体" w:eastAsia="宋体" w:cs="宋体"/>
          <w:sz w:val="24"/>
          <w:szCs w:val="24"/>
        </w:rPr>
        <w:t>毕业生就业竞争力较强。</w:t>
      </w:r>
      <w:r>
        <w:rPr>
          <w:rFonts w:hint="eastAsia" w:ascii="宋体" w:hAnsi="宋体" w:eastAsia="宋体" w:cs="宋体"/>
          <w:sz w:val="24"/>
          <w:szCs w:val="24"/>
          <w:lang w:val="en-US" w:eastAsia="zh-CN"/>
        </w:rPr>
        <w:t>我院2018届毕业生月平均收入为</w:t>
      </w:r>
      <w:r>
        <w:rPr>
          <w:rFonts w:hint="eastAsia" w:ascii="宋体" w:hAnsi="宋体" w:eastAsia="宋体" w:cs="宋体"/>
          <w:sz w:val="24"/>
          <w:szCs w:val="24"/>
        </w:rPr>
        <w:t>6318</w:t>
      </w:r>
      <w:r>
        <w:rPr>
          <w:rFonts w:hint="eastAsia" w:ascii="宋体" w:hAnsi="宋体" w:eastAsia="宋体" w:cs="宋体"/>
          <w:sz w:val="24"/>
          <w:szCs w:val="24"/>
          <w:lang w:val="en-US" w:eastAsia="zh-CN"/>
        </w:rPr>
        <w:t>元，在全校所有学院中排名第三，且与2017届毕业生的5511元相比有较大的涨幅。从专业层面来看，物流管理专业毕业生毕业三年后的月收入相对较高，为8009元，在全校所有专业中排名第三，且物流管理专业毕业生的月收入涨幅比例为126%，也相对较高。</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4.就业现状满意度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t>从学院层面来看，我院2018届毕业生就业满意度为76%，在全校所有学院中排名第三，相对较高，但与比2017届的83%相比有所下降。从专业层面来看，我院2018届旅游管理专业毕业生的就业现状满意度为85%，在全校所有专业中排名第一。由于部分专业一届毕业生样本量过少，只能从两届合并数据看。其中，我院商务英语专业毕业生的就业现状满意度也相对较高，为89% ，电子商务专业毕业生的就业现状满意度为79%，总体表现也还不错。</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（二）教学培养过程反馈</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1.毕业生对所学专业培养目标的合理性评价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培养目标合理性评价是由毕业生回答在学校就读期间所学专业的专业人才培养目标各个方面的合理性，分别为“对毕业生服务区域和工作领域的定位清晰”、“对毕业生的专业能力和综合素养有明确要求”、“符合相关行业的发展需求”、“对毕业生未来的职业发展成就有所预期”。我院2018届毕业生对此项评价总体偏低，特别是对培养目标中的“对毕业生未来的职业发展成就有所预期”合理性评价相对较低，需加强关注。</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2.毕业生对所学专业课程设置的合理度评价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毕业生对大学所学专业的课程设置合理程度评价分为“无法评估”、“很不合理”、“不合理”、“合理”、“很合理”，</w:t>
      </w:r>
      <w:r>
        <w:rPr>
          <w:rFonts w:hint="eastAsia" w:ascii="宋体" w:hAnsi="宋体" w:eastAsia="宋体" w:cs="宋体"/>
          <w:sz w:val="24"/>
          <w:szCs w:val="24"/>
          <w:lang w:val="en-US" w:eastAsia="zh-CN"/>
        </w:rPr>
        <w:t>从学院层面来看，我院2018届毕业生对专业课程设置的合理度评价为93%，在全校所有学院中排名第一，且较上届有所提升。其中旅游管理专业毕业生认为对职业发展最重要的课程主要有旅游学概论、导游业务、饭店管理。</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3.毕业生对教师评价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t>各专业教师应开展学生学习指导、职业规划、就业指导等工作，帮助学生达成毕业要求，实现学生发展。从学院层面来看，我院2018届毕业生对教师指导效果满意度较高，在全校所有学院中排名第一。从各学院教师评价综合分析看，我院2018届毕业生对教师指导效果满意度也非常高，教师指导总体满足度为95%，也在全校所有学院中排名第一。</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4.毕业生的通用能力达成度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目前，社会对高校育人工作的要求不仅仅局限在高水平专业技能的培养上，更重要的是要以德育为先，培养德智体美全方位发展、具有较高综合素质的人才。到毕业中期时，学校对学生除专业知识技能以外的通用能力的培养效果会逐渐显露，可通过毕业生对自身通用能力的达成效果反映出来，这也是专业培养目标达成情况的体现之一。从学院层面来看，我院2018届毕业生通用能力达成度为90%，在全校所有学院中排名第三，但总体职业能力达成度偏低，且较上届有所下降。从专业层面来看，我院2018届旅游管理专业毕业生的通用能力达成度均为93%，与生物制药技术排名并列第一，但总体职业能力达成度为82%，低于本校平均水平（85%）。</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5.职业能力达成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t>从学院层面看，我院2018届毕业生主要从事小学教师、幼儿教师、文员等工作。从专业层面来看（两届合并），电子商务专业毕业生主要从事小学教师和文员工作；商务英语专业毕业生主要从事小学教师工作；学前教育（海本）毕业生主要从事幼儿教师工作。从学院层面看，我院毕业生主要就业行业为中小学教育机构、幼儿园与学前教育机构和物流仓储业。从专业层面看，我院电子商务、旅游管理、商务英语专业毕业生主要就业行业均为中小学教育机构，学前教育（海本）专业毕业生主要就业行业为幼儿园与学前教育机构。可见，我院非师范专业毕业生的就业行业明显偏好于教育行业。这在一定程度上反映我校百年师范历史和师范教育办学特色对学生的职业规划和发展产生了较大的影响。</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6.各学院毕业生对母校教学的总体满意度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学院层面来看，我校2018届各学院毕业生对母校教学总体满意度均在九成以上，其中我院毕业生对母校教学的总体满意度评价为96%，在全校所有学院中排名第二，反映出我院教学培养效果较好。在校友评价方面，我院2018届毕业生对母校的推荐度、关注度和回馈度均相对较高，分别为69%、95%和88%，均在全校所有学院中排名第二，且较上届均有所上升。</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7.毕业生各类证书获取情况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类证书主要包括计算机等级证书、能力证书（驾照、普通话等级证等）、语言类等级证书、职业资格证书（如会计职称证书、导游证、护士执业证书等）、1+X职业技能等级证。该项调查对象为应届毕业生。从学院层面看，我院2021届毕业生获得各类证书的比例偏低，其中有5%的毕业生未获得任何上述证书。主要原因是近几年国家在进行职业资格制度方面的改革，我院相关专业的一些职业资格考试被取消。在全国职业教育推行1+X证书试点的背景下，目前我院各专业正积极与行业、企业开展合作，正在全方位推进该项工作，申报了多个1+X证书试点。</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（三）主要指标趋势分析</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1.我院各类指标总体表现优异并趋势向好</w:t>
      </w:r>
    </w:p>
    <w:p>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从就业就业质量指标和教学培养过程反馈各项指标看，我院毕业生培养质量总体较高，趋势向好。例如毕业去向落实率、三年内的职位晋升比例、</w:t>
      </w:r>
      <w:r>
        <w:rPr>
          <w:rFonts w:hint="eastAsia" w:ascii="宋体" w:hAnsi="宋体" w:eastAsia="宋体" w:cs="宋体"/>
          <w:sz w:val="24"/>
          <w:szCs w:val="24"/>
        </w:rPr>
        <w:t>在一流企业就业的比例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对专业课程设置的合理度评价、对教师指导效果满意度评价均在全校所有学院中排名第一，其他大多数指标排名也名列前茅。</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2.工作与专业相关度有所提高</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前两年的调查报告，我院2018届毕业生工作与专业相关度为53%，2019届毕业生工作与专业相关度为75%，呈现上升趋势。2020届和2021届由于样本偏少，该数据未在调查报告中呈现。但从毕业三年的调查结果看，我院2018届毕业生的工作与专业相关度为37%，相比2017届的33%有所提升。</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3.校友评价各项指标稳中有升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友评价指标包括本校毕业生对母校的关注度、回馈度、推荐度较高，校友认可度较好等。从学院层面来看，我院2018届毕业生对母校的评价相对较高，且较上届有所上升。我院2018届毕业生对母校的回馈度较高，为88%，也较上届有所上升。</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三、存在的主要问题</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（一）毕业生就业与专业相关度仍然偏低</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学院层面来看，我院2018届毕业生的工作与专业相关度为37%，相比2017届的33%虽然有所提升，但仍处于较低水平。且从专业层面来看，我院大部分非师范专业毕业生就业与专业相关度未达到30%，其中报关与国际货运为28% ，人力资源管理专业为28%，电子商务专业为22%，应用韩语专业为20%。受疫情影响，旅游管理专业毕业生的工作与专业相关度最低，只有17%。当然，和工科、医科相比，相关度低是商务类、管理类专业存在的普遍现象，也说明商务类、管理类专业存在就业口径较宽的有利一面。</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（二）综合素质类通识教育有待改进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调查显示，我校2018届毕业生中有78%的人认为需要改进对职业发展重要度较高的综合素质类通识教育，较上届74%的比例略有上升。具体到学院层面，我院有83%的毕业生认为综合素质类通识教育需要加强，高于全校平均水平。从对通识教育的改进期待来看，2018届毕业生认为通识教育需要改进的方面仍是如何调动学生学习兴趣、扩展兴趣爱好。</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（三）创业教学课程的效果需不断提升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创新创业课程教学效果不佳是我校各学院存在的共性问题。调查结果显示，2018届仅有22%的毕业生认为在校经历对自己创新能力的影响较大，创新创业教育培养成效需要进一步关注。我校毕业生的创业意愿不断增强，毕业短期、中期毕业生均认为我校“创新创业实践类活动不足”和“创新创业教育课程缺乏”。主要原因有两点：一是校企合作力度不够。各专业发展水平不平衡，实训课程偏少，校企合作深度广度亟待拓展。二是教师教研、科研和社会服务能力偏弱。我校以师范教育为主，非师范专业师资力量较为薄弱，教师到企业行业锻炼机会较少，服务社会能力较弱，对学生在创新创业方面能力的培养存在不足。</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四、主要整改措施</w:t>
      </w:r>
    </w:p>
    <w:p>
      <w:pPr>
        <w:pStyle w:val="32"/>
        <w:keepNext w:val="0"/>
        <w:keepLines w:val="0"/>
        <w:pageBreakBefore w:val="0"/>
        <w:numPr>
          <w:ilvl w:val="0"/>
          <w:numId w:val="0"/>
        </w:numPr>
        <w:kinsoku/>
        <w:wordWrap/>
        <w:overflowPunct/>
        <w:topLinePunct w:val="0"/>
        <w:autoSpaceDE/>
        <w:autoSpaceDN/>
        <w:bidi w:val="0"/>
        <w:adjustRightInd/>
        <w:spacing w:line="360" w:lineRule="auto"/>
        <w:ind w:leftChars="0"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（一）加强专业建设，进一步优化人才培养方案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针对毕业生就业与专业相关度偏低的问题，首先，学院层面将</w:t>
      </w:r>
      <w:r>
        <w:rPr>
          <w:rFonts w:hint="eastAsia" w:ascii="宋体" w:hAnsi="宋体" w:eastAsia="宋体" w:cs="宋体"/>
          <w:sz w:val="24"/>
          <w:szCs w:val="24"/>
        </w:rPr>
        <w:t>密切跟踪地方</w:t>
      </w:r>
      <w:r>
        <w:rPr>
          <w:rFonts w:hint="eastAsia" w:ascii="宋体" w:hAnsi="宋体" w:eastAsia="宋体" w:cs="宋体"/>
          <w:sz w:val="24"/>
          <w:szCs w:val="24"/>
          <w:lang w:val="en-US" w:eastAsia="zh-CN"/>
        </w:rPr>
        <w:t>教育和</w:t>
      </w:r>
      <w:r>
        <w:rPr>
          <w:rFonts w:hint="eastAsia" w:ascii="宋体" w:hAnsi="宋体" w:eastAsia="宋体" w:cs="宋体"/>
          <w:sz w:val="24"/>
          <w:szCs w:val="24"/>
        </w:rPr>
        <w:t>产业发展</w:t>
      </w:r>
      <w:r>
        <w:rPr>
          <w:rFonts w:hint="eastAsia" w:ascii="宋体" w:hAnsi="宋体" w:eastAsia="宋体" w:cs="宋体"/>
          <w:sz w:val="24"/>
          <w:szCs w:val="24"/>
          <w:lang w:val="en-US" w:eastAsia="zh-CN"/>
        </w:rPr>
        <w:t>现状及</w:t>
      </w:r>
      <w:r>
        <w:rPr>
          <w:rFonts w:hint="eastAsia" w:ascii="宋体" w:hAnsi="宋体" w:eastAsia="宋体" w:cs="宋体"/>
          <w:sz w:val="24"/>
          <w:szCs w:val="24"/>
        </w:rPr>
        <w:t>趋势，</w:t>
      </w:r>
      <w:r>
        <w:rPr>
          <w:rFonts w:hint="eastAsia" w:ascii="宋体" w:hAnsi="宋体" w:eastAsia="宋体" w:cs="宋体"/>
          <w:sz w:val="24"/>
          <w:szCs w:val="24"/>
          <w:lang w:val="en-US" w:eastAsia="zh-CN"/>
        </w:rPr>
        <w:t>加大对本市及本省行业人才需求的调研，加强与地方教育机构和各类企业的深度交流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了解用人单位对专业人才的素质能力要求。其次，要加强专业建设，完善专业建设发展规划，调整和优化专业结构，在专业设置和核心课程设置方面进行适当调整。学院将有针对性地加强对素质类通识教育的培养力度，以更好地发挥通识教育在毕业后发展中的作用。将进一步深化人才培养模式和课程体系的改革，加大专业实训基地建设力度，</w:t>
      </w:r>
      <w:r>
        <w:rPr>
          <w:rFonts w:hint="eastAsia" w:ascii="宋体" w:hAnsi="宋体" w:eastAsia="宋体" w:cs="宋体"/>
          <w:sz w:val="24"/>
          <w:szCs w:val="24"/>
        </w:rPr>
        <w:t>培养适应经济社会发展需要的应用型人才</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最后，</w:t>
      </w:r>
      <w:r>
        <w:rPr>
          <w:rFonts w:hint="eastAsia" w:ascii="宋体" w:hAnsi="宋体" w:eastAsia="宋体" w:cs="宋体"/>
          <w:sz w:val="24"/>
          <w:szCs w:val="24"/>
        </w:rPr>
        <w:t>要</w:t>
      </w:r>
      <w:r>
        <w:rPr>
          <w:rFonts w:hint="eastAsia" w:ascii="宋体" w:hAnsi="宋体" w:eastAsia="宋体" w:cs="宋体"/>
          <w:sz w:val="24"/>
          <w:szCs w:val="24"/>
          <w:lang w:val="en-US" w:eastAsia="zh-CN"/>
        </w:rPr>
        <w:t>加强校企合作力度</w:t>
      </w:r>
      <w:r>
        <w:rPr>
          <w:rFonts w:hint="eastAsia" w:ascii="宋体" w:hAnsi="宋体" w:eastAsia="宋体" w:cs="宋体"/>
          <w:sz w:val="24"/>
          <w:szCs w:val="24"/>
        </w:rPr>
        <w:t>，聘请企业实践经验丰富的专家和技术人员指导专业建设</w:t>
      </w:r>
      <w:r>
        <w:rPr>
          <w:rFonts w:hint="eastAsia" w:ascii="宋体" w:hAnsi="宋体" w:eastAsia="宋体" w:cs="宋体"/>
          <w:sz w:val="24"/>
          <w:szCs w:val="24"/>
          <w:lang w:eastAsia="zh-CN"/>
        </w:rPr>
        <w:t>，</w:t>
      </w:r>
      <w:r>
        <w:rPr>
          <w:rFonts w:hint="eastAsia" w:ascii="宋体" w:hAnsi="宋体" w:eastAsia="宋体" w:cs="宋体"/>
          <w:sz w:val="24"/>
          <w:szCs w:val="24"/>
        </w:rPr>
        <w:t>校企双方共同制订人才培养计划，</w:t>
      </w:r>
      <w:r>
        <w:rPr>
          <w:rFonts w:hint="eastAsia" w:ascii="宋体" w:hAnsi="宋体" w:eastAsia="宋体" w:cs="宋体"/>
          <w:sz w:val="24"/>
          <w:szCs w:val="24"/>
          <w:lang w:val="en-US" w:eastAsia="zh-CN"/>
        </w:rPr>
        <w:t>聘请更多的企业专家</w:t>
      </w:r>
      <w:r>
        <w:rPr>
          <w:rFonts w:hint="eastAsia" w:ascii="宋体" w:hAnsi="宋体" w:eastAsia="宋体" w:cs="宋体"/>
          <w:sz w:val="24"/>
          <w:szCs w:val="24"/>
        </w:rPr>
        <w:t>承担实践教学工作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进一步提高</w:t>
      </w:r>
      <w:r>
        <w:rPr>
          <w:rFonts w:hint="eastAsia" w:ascii="宋体" w:hAnsi="宋体" w:eastAsia="宋体" w:cs="宋体"/>
          <w:sz w:val="24"/>
          <w:szCs w:val="24"/>
        </w:rPr>
        <w:t>人才</w:t>
      </w:r>
      <w:r>
        <w:rPr>
          <w:rFonts w:hint="eastAsia" w:ascii="宋体" w:hAnsi="宋体" w:eastAsia="宋体" w:cs="宋体"/>
          <w:sz w:val="24"/>
          <w:szCs w:val="24"/>
          <w:lang w:val="en-US" w:eastAsia="zh-CN"/>
        </w:rPr>
        <w:t>培养质量</w:t>
      </w:r>
      <w:r>
        <w:rPr>
          <w:rFonts w:hint="eastAsia" w:ascii="宋体" w:hAnsi="宋体" w:eastAsia="宋体" w:cs="宋体"/>
          <w:sz w:val="24"/>
          <w:szCs w:val="24"/>
          <w:lang w:eastAsia="zh-CN"/>
        </w:rPr>
        <w:t>。</w:t>
      </w:r>
    </w:p>
    <w:p>
      <w:pPr>
        <w:pStyle w:val="32"/>
        <w:keepNext w:val="0"/>
        <w:keepLines w:val="0"/>
        <w:pageBreakBefore w:val="0"/>
        <w:numPr>
          <w:ilvl w:val="0"/>
          <w:numId w:val="0"/>
        </w:numPr>
        <w:kinsoku/>
        <w:wordWrap/>
        <w:overflowPunct/>
        <w:topLinePunct w:val="0"/>
        <w:autoSpaceDE/>
        <w:autoSpaceDN/>
        <w:bidi w:val="0"/>
        <w:adjustRightInd/>
        <w:spacing w:before="78" w:beforeLines="25" w:after="78" w:afterLines="25" w:line="360" w:lineRule="auto"/>
        <w:ind w:leftChars="0"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（二）加大创新创业教育的投入力度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前我校的创新创业教育均以校内教师为主导,学生只能通过短期的“工学交替”或参观、考察等方式才能与行业或企业接触。校内教师也只有在教学之余下企业进行短期的挂职锻炼和学习,实践的深度不够,导致理论教学与实践教学结合度不高,在职业素养教育、企业文化引入、职业岗位认知、实践操作能力、创新创业能力等方面相对薄弱。我院将引进更多行业专技人才参与实践教学,将企业文化、职业岗位、行业信息等引入课堂,加强校内教师与企业导师之间的深度融合,提升实践课程的教学质量。通过改进教学方法，多采用启发式、讨论式、参与式教学方法，配备具有实践经验的师资，进而提升创业教学课程的有效性。同时，学院层面将进一步关注学生各类创新创业竞赛/训练、活动的参与情况，并在教师指导、资源支持等方面提供一定的支持。</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（三）帮助学生做好职业规划，并提供相应帮扶措施</w:t>
      </w:r>
    </w:p>
    <w:p>
      <w:pPr>
        <w:pStyle w:val="32"/>
        <w:keepNext w:val="0"/>
        <w:keepLines w:val="0"/>
        <w:pageBreakBefore w:val="0"/>
        <w:numPr>
          <w:ilvl w:val="0"/>
          <w:numId w:val="0"/>
        </w:numPr>
        <w:kinsoku/>
        <w:wordWrap/>
        <w:overflowPunct/>
        <w:topLinePunct w:val="0"/>
        <w:autoSpaceDE/>
        <w:autoSpaceDN/>
        <w:bidi w:val="0"/>
        <w:adjustRightInd/>
        <w:spacing w:before="78" w:beforeLines="25" w:after="78" w:afterLines="25" w:line="360" w:lineRule="auto"/>
        <w:ind w:leftChars="0"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我校2021届毕业生的毕业去向落实率分别为76.0%，较2020届（85.5%）、2019届（93.1%）相比持续下降，部分毕业生呈现出一定的“慢就业”、就业延缓等现象，这与疫情持续冲击下就业难度加大有很大的关系，但也与学生缺乏职业规划密切相关。调查结果显示，未就业人群中准备升学和有其他打算人群占比的扩大是毕业去向落实率下降的主因。而准备升学毕业生中超过八成参加过专升本考试，毕业生考试未通过的主要原因是“志愿填报不合理”、“规划晚，准备时间不足”。结合准备升学人群希望学校提供报考指导、组织经验分享、政策讲解、文化课辅导等升学支撑服务方面的要求，我院将结合毕业生需求反馈，提前了解在校生该方面的需求，针对性地优化相关升学服务。各专业拟在新生入学初期就开展关于学生就业或升学意愿的调查，帮助学生合理制定职业规划，并进行后续跟踪，针对具有不同目标的学生进行相应的帮扶或培训，帮助学生顺利完成学习，实现就业或进一步深造的目标。 </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lang w:val="en-US" w:eastAsia="zh-CN"/>
        </w:rPr>
      </w:pPr>
    </w:p>
    <w:p>
      <w:pPr>
        <w:adjustRightInd w:val="0"/>
        <w:snapToGrid w:val="0"/>
        <w:spacing w:line="360" w:lineRule="auto"/>
        <w:ind w:firstLine="1687" w:firstLineChars="600"/>
        <w:jc w:val="both"/>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体育学院毕业生培养质量年度整改报告</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一、体育学院概况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体育学院2002年独立建系，2013年成立体育学院，现有教职员工38人。专任教师中高级职称19人，具有硕士以上学位教职员工29人。  </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现有专科专业3个：体育教育、社会体育、体育运营与管理，共有在校生481人。</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1.专业情况</w:t>
      </w:r>
    </w:p>
    <w:tbl>
      <w:tblPr>
        <w:tblStyle w:val="15"/>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49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专业名称</w:t>
            </w:r>
          </w:p>
        </w:tc>
        <w:tc>
          <w:tcPr>
            <w:tcW w:w="4961"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招生年份</w:t>
            </w:r>
          </w:p>
        </w:tc>
        <w:tc>
          <w:tcPr>
            <w:tcW w:w="1276"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在校生数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体育教育</w:t>
            </w:r>
          </w:p>
        </w:tc>
        <w:tc>
          <w:tcPr>
            <w:tcW w:w="4961"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2002（2016、2017年停招）</w:t>
            </w:r>
          </w:p>
        </w:tc>
        <w:tc>
          <w:tcPr>
            <w:tcW w:w="1276"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 xml:space="preserve">社会体育 </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（含海外直通车）</w:t>
            </w:r>
          </w:p>
        </w:tc>
        <w:tc>
          <w:tcPr>
            <w:tcW w:w="4961"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2017（海外项目2016年招生，2020年停招）</w:t>
            </w:r>
          </w:p>
        </w:tc>
        <w:tc>
          <w:tcPr>
            <w:tcW w:w="1276"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体育运营与管理</w:t>
            </w:r>
          </w:p>
        </w:tc>
        <w:tc>
          <w:tcPr>
            <w:tcW w:w="4961"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2017（2020年停招）</w:t>
            </w:r>
          </w:p>
        </w:tc>
        <w:tc>
          <w:tcPr>
            <w:tcW w:w="1276"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31</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2018年体育学院招生发生改变，在原有的招生方式的基础上增加了提前招生方式，2019年增加了社会招生方式。</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 xml:space="preserve">2.师资队伍建设 </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体育学院不断加强师资队伍建设，教师年龄断层严重，2015年至今退休专任教师 5人，转岗任职 4人。2016年加强了引进力度，引进硕士研究生6人，调入具有硕士学位中级职称教师1人。2021年引进硕士研究生2人，2022年先后引进硕士研究生7人。目前我院国家一级及以上裁判员20人次，其中，国际级裁判1人，国家级裁判2人；国家级考评员2人，体育行业职业资格培训师7人，1+X考评员11人；具有教练员资格1人。</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 xml:space="preserve">3.课程体系 </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体育学院挂公共体育教学部牌子，大学体育课程是体育学院承担的非专业公共课程。大学体育课程 2008 年被评为省级精品课程。课程体系较为完善，2015 年通过了江苏省公共体育课程考核验收，各类体育社团、俱乐部运行正常，体育学院与校学生处、团委共同负责 学校早锻炼工作，情况良好。校园竞赛组织正常，校运会每年下半年举行，校运动队竞赛成绩较好，获得 2018 年市首届全民健身运动会总分第一名等成绩。在第十六届（2006年）、十七届（2010年）、十八届（2014年）江苏省运动会高校部田径比赛连续三届获得团体总冠军，十九届（2018年）获全能项目第一名，且在历届运动会上荣获体育道德风尚奖；在第二十届（2022年）省运会上田径勇夺金牌榜第一，团体第二名；气排球队获冠军；飞镖队获1枚金牌，团体总分第三名；网球队获2枚铜牌；跆拳道队获1枚铜牌；羽毛球队获1枚铜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专业课程体系中，体育学院加强实践性课程建设，从 2012 年在各专业中开展职业资格“1+1”教育模式，建立了省级体育行业职业技能培训基地，与数个企业建立校企合作模式。通过课程教学、课余训练和社会辅导考证，学生体育行业职业双证书通过率达到 95%以上。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当前学生可以考取的国家职业资格有：救生员、健身（教练）职业社会体育指导员、健美操（团操）职业社会体育指导员、跆拳道职业社会体育指导员、游泳（教员）职业社会体育指导员等。2020年成功申报国家教育部《运动营养咨询与指导》职业技能等级考评试点，与外商院等联合申报《研学旅行指导》职业技能等级考评试点。两个项目共进行了四个批次考试，报名参加考试人数研学旅行498人，运动营养195人，通过人数研学旅行373人，运动营养167人。</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近5年获省体育教育专业校园足球联盟专科组足球竞赛第一名，本科组足球技能竞赛二等奖，省体育教育专业校园足球联盟模拟授课一、二、三等奖和优秀奖各1项；在江苏省师范生教学技能竞赛中，先后获得二等奖2项，三等奖5项。</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二、毕业生状况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由于2018届及以前的麦可思调查收集的体育专业毕业生数据少，各项指标无法反映毕业生真实就业状况，本报告仅对 2021届提供的报告进行分析。</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 xml:space="preserve">（一）就业质量 </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1.就业率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体育学院 2020届、2021 届毕业生整体就业率分别为 95%和 79%，均远高于当年全校毕业生平均就业率。其中，体育教育专业2021届毕业生就业率为78%。社会体育专业回收数据较少，就业率没有体现。</w:t>
      </w:r>
    </w:p>
    <w:p>
      <w:pPr>
        <w:adjustRightInd w:val="0"/>
        <w:snapToGrid w:val="0"/>
        <w:spacing w:line="360" w:lineRule="auto"/>
        <w:jc w:val="center"/>
        <w:rPr>
          <w:sz w:val="28"/>
          <w:szCs w:val="28"/>
        </w:rPr>
      </w:pPr>
      <w:r>
        <w:drawing>
          <wp:anchor distT="0" distB="0" distL="114300" distR="114300" simplePos="0" relativeHeight="251660288" behindDoc="0" locked="0" layoutInCell="1" allowOverlap="1">
            <wp:simplePos x="0" y="0"/>
            <wp:positionH relativeFrom="column">
              <wp:posOffset>2943860</wp:posOffset>
            </wp:positionH>
            <wp:positionV relativeFrom="paragraph">
              <wp:posOffset>-52705</wp:posOffset>
            </wp:positionV>
            <wp:extent cx="2469515" cy="3448050"/>
            <wp:effectExtent l="0" t="0" r="698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69515" cy="3448050"/>
                    </a:xfrm>
                    <a:prstGeom prst="rect">
                      <a:avLst/>
                    </a:prstGeom>
                  </pic:spPr>
                </pic:pic>
              </a:graphicData>
            </a:graphic>
          </wp:anchor>
        </w:drawing>
      </w:r>
      <w:r>
        <w:drawing>
          <wp:inline distT="0" distB="0" distL="0" distR="0">
            <wp:extent cx="2886710" cy="2796540"/>
            <wp:effectExtent l="0" t="0" r="889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2885822" cy="2796240"/>
                    </a:xfrm>
                    <a:prstGeom prst="rect">
                      <a:avLst/>
                    </a:prstGeom>
                  </pic:spPr>
                </pic:pic>
              </a:graphicData>
            </a:graphic>
          </wp:inline>
        </w:drawing>
      </w:r>
    </w:p>
    <w:p>
      <w:pPr>
        <w:adjustRightInd w:val="0"/>
        <w:snapToGrid w:val="0"/>
        <w:spacing w:line="360" w:lineRule="auto"/>
        <w:ind w:firstLine="560" w:firstLineChars="200"/>
        <w:rPr>
          <w:sz w:val="28"/>
          <w:szCs w:val="28"/>
        </w:rPr>
      </w:pPr>
    </w:p>
    <w:p>
      <w:pPr>
        <w:adjustRightInd w:val="0"/>
        <w:snapToGrid w:val="0"/>
        <w:spacing w:line="360" w:lineRule="auto"/>
        <w:ind w:firstLine="560" w:firstLineChars="200"/>
        <w:rPr>
          <w:sz w:val="28"/>
          <w:szCs w:val="28"/>
        </w:rPr>
      </w:pP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2.就业相关度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体育学院 2020届、2021届毕业生就业相关度较高，均是83%，学院加强学生的职业规划教育，从毕业就业需求实际出发，科学制定人才培养方案，促进学生掌握所需知识和技能。</w:t>
      </w:r>
    </w:p>
    <w:p>
      <w:pPr>
        <w:adjustRightInd w:val="0"/>
        <w:snapToGrid w:val="0"/>
        <w:spacing w:line="360" w:lineRule="auto"/>
        <w:jc w:val="center"/>
        <w:rPr>
          <w:sz w:val="28"/>
          <w:szCs w:val="28"/>
        </w:rPr>
      </w:pPr>
      <w:r>
        <w:drawing>
          <wp:inline distT="0" distB="0" distL="0" distR="0">
            <wp:extent cx="2996565" cy="26765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996696" cy="2677048"/>
                    </a:xfrm>
                    <a:prstGeom prst="rect">
                      <a:avLst/>
                    </a:prstGeom>
                  </pic:spPr>
                </pic:pic>
              </a:graphicData>
            </a:graphic>
          </wp:inline>
        </w:drawing>
      </w:r>
    </w:p>
    <w:p>
      <w:pPr>
        <w:adjustRightInd w:val="0"/>
        <w:snapToGrid w:val="0"/>
        <w:spacing w:line="360" w:lineRule="auto"/>
        <w:ind w:firstLine="560" w:firstLineChars="200"/>
        <w:rPr>
          <w:sz w:val="28"/>
          <w:szCs w:val="28"/>
        </w:rPr>
      </w:pP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3.就业薪酬</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体育学院 2020届、20201届毕业生就业薪酬远高于全校当年毕业生就业薪酬，位列全校所有专业之首，2020年达到 5442元，2021 年达到 5150元，其中体育教育专业毕业生当年的薪酬为 5280 元，这与就业岗位职业相关，体育学院毕业生大多从事与体育、 教育相关的职业行业，体现了专业课程中双证书培养的优势，也说明课程体系的社会适应性和相关度。</w:t>
      </w:r>
    </w:p>
    <w:p>
      <w:pPr>
        <w:adjustRightInd w:val="0"/>
        <w:snapToGrid w:val="0"/>
        <w:spacing w:line="360" w:lineRule="auto"/>
        <w:jc w:val="center"/>
        <w:rPr>
          <w:sz w:val="28"/>
          <w:szCs w:val="28"/>
        </w:rPr>
      </w:pPr>
      <w:r>
        <w:drawing>
          <wp:inline distT="0" distB="0" distL="0" distR="0">
            <wp:extent cx="3379470" cy="29730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3383737" cy="2977076"/>
                    </a:xfrm>
                    <a:prstGeom prst="rect">
                      <a:avLst/>
                    </a:prstGeom>
                  </pic:spPr>
                </pic:pic>
              </a:graphicData>
            </a:graphic>
          </wp:inline>
        </w:drawing>
      </w:r>
      <w:r>
        <w:drawing>
          <wp:inline distT="0" distB="0" distL="0" distR="0">
            <wp:extent cx="2566035" cy="3362960"/>
            <wp:effectExtent l="0" t="0" r="571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2565912" cy="3362426"/>
                    </a:xfrm>
                    <a:prstGeom prst="rect">
                      <a:avLst/>
                    </a:prstGeom>
                  </pic:spPr>
                </pic:pic>
              </a:graphicData>
            </a:graphic>
          </wp:inline>
        </w:drawing>
      </w:r>
    </w:p>
    <w:p>
      <w:pPr>
        <w:adjustRightInd w:val="0"/>
        <w:snapToGrid w:val="0"/>
        <w:spacing w:line="360" w:lineRule="auto"/>
        <w:jc w:val="center"/>
        <w:rPr>
          <w:sz w:val="28"/>
          <w:szCs w:val="28"/>
        </w:rPr>
      </w:pP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4.专业能力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学院2021届体育教育毕业生专业能力方面达成度较高，职业规范、个人和团队、终身学习等均达到100%。</w:t>
      </w:r>
    </w:p>
    <w:p>
      <w:pPr>
        <w:adjustRightInd w:val="0"/>
        <w:snapToGrid w:val="0"/>
        <w:spacing w:line="360" w:lineRule="auto"/>
        <w:ind w:firstLine="420" w:firstLineChars="200"/>
        <w:rPr>
          <w:sz w:val="28"/>
          <w:szCs w:val="28"/>
        </w:rPr>
      </w:pPr>
      <w:r>
        <w:drawing>
          <wp:inline distT="0" distB="0" distL="0" distR="0">
            <wp:extent cx="4064635" cy="31864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4070278" cy="3190459"/>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5.职业资格证书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职业资格证书是职业教育的直接反映，从反馈数据来看，体育专业职业资格证书、1+X证书获得率全校排名居首，分别为97%、85%。体育学院要求学生毕业时必须专科获得体育行业双证书，这是学分要求。</w:t>
      </w:r>
    </w:p>
    <w:p>
      <w:pPr>
        <w:adjustRightInd w:val="0"/>
        <w:snapToGrid w:val="0"/>
        <w:spacing w:line="360" w:lineRule="auto"/>
        <w:ind w:firstLine="420" w:firstLineChars="200"/>
        <w:jc w:val="center"/>
        <w:rPr>
          <w:sz w:val="28"/>
          <w:szCs w:val="28"/>
        </w:rPr>
      </w:pPr>
      <w:r>
        <w:drawing>
          <wp:inline distT="0" distB="0" distL="0" distR="0">
            <wp:extent cx="4076065" cy="246126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4076241" cy="2461314"/>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 xml:space="preserve">（二）教学过程培养反馈 </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1.毕业生对培养目标的总体了解度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体育学院2021届毕业生对培养目标有明确了解，达到96%；对毕业要求了解度2020届、2021届分别为100%和94%；学生对于未来的职业发展、职业能力有明确的知晓。</w:t>
      </w:r>
    </w:p>
    <w:p>
      <w:pPr>
        <w:adjustRightInd w:val="0"/>
        <w:snapToGrid w:val="0"/>
        <w:spacing w:line="360" w:lineRule="auto"/>
        <w:ind w:firstLine="420" w:firstLineChars="200"/>
        <w:rPr>
          <w:sz w:val="28"/>
          <w:szCs w:val="28"/>
        </w:rPr>
      </w:pPr>
      <w:r>
        <w:drawing>
          <wp:anchor distT="0" distB="0" distL="114300" distR="114300" simplePos="0" relativeHeight="251662336" behindDoc="0" locked="0" layoutInCell="1" allowOverlap="1">
            <wp:simplePos x="0" y="0"/>
            <wp:positionH relativeFrom="column">
              <wp:posOffset>2910840</wp:posOffset>
            </wp:positionH>
            <wp:positionV relativeFrom="paragraph">
              <wp:posOffset>353060</wp:posOffset>
            </wp:positionV>
            <wp:extent cx="2553335" cy="2434590"/>
            <wp:effectExtent l="0" t="0" r="0" b="381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53335" cy="243459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-262255</wp:posOffset>
            </wp:positionH>
            <wp:positionV relativeFrom="paragraph">
              <wp:posOffset>198755</wp:posOffset>
            </wp:positionV>
            <wp:extent cx="3172460" cy="2588895"/>
            <wp:effectExtent l="0" t="0" r="8890" b="190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172460" cy="25888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2.毕业生对专业核心课程有效性综合评价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程重要度反映了课程内容的设置是否与实际工作需求相匹配，课程满足度反映了课程教学效果是否满足实际工作的需求。体育学院学生从事专业相关工作对专业核心课程的重要度评价为90%，满意度为99%，反映出专业核心课程的设置比较合理。</w:t>
      </w:r>
    </w:p>
    <w:p>
      <w:pPr>
        <w:adjustRightInd w:val="0"/>
        <w:snapToGrid w:val="0"/>
        <w:spacing w:line="360" w:lineRule="auto"/>
        <w:ind w:firstLine="420" w:firstLineChars="200"/>
        <w:jc w:val="center"/>
        <w:rPr>
          <w:rFonts w:hint="eastAsia"/>
          <w:sz w:val="28"/>
          <w:szCs w:val="28"/>
        </w:rPr>
      </w:pPr>
      <w:r>
        <w:drawing>
          <wp:inline distT="0" distB="0" distL="0" distR="0">
            <wp:extent cx="5346700" cy="154686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346700" cy="1547078"/>
                    </a:xfrm>
                    <a:prstGeom prst="rect">
                      <a:avLst/>
                    </a:prstGeom>
                  </pic:spPr>
                </pic:pic>
              </a:graphicData>
            </a:graphic>
          </wp:inline>
        </w:drawing>
      </w:r>
    </w:p>
    <w:p>
      <w:pPr>
        <w:adjustRightInd w:val="0"/>
        <w:snapToGrid w:val="0"/>
        <w:spacing w:line="360" w:lineRule="auto"/>
        <w:ind w:firstLine="560" w:firstLineChars="200"/>
        <w:jc w:val="center"/>
        <w:rPr>
          <w:sz w:val="28"/>
          <w:szCs w:val="28"/>
        </w:rPr>
      </w:pP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（三）学生服务成效</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1.母校满意度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学生对母校的满意度反映了毕业生对母校总体评价情况，是毕业生在校学习生活体验评价的重要指标。体育学院2021届为90%。</w:t>
      </w:r>
    </w:p>
    <w:p>
      <w:pPr>
        <w:adjustRightInd w:val="0"/>
        <w:snapToGrid w:val="0"/>
        <w:spacing w:line="360" w:lineRule="auto"/>
        <w:ind w:firstLine="420" w:firstLineChars="200"/>
        <w:jc w:val="center"/>
        <w:rPr>
          <w:sz w:val="28"/>
          <w:szCs w:val="28"/>
        </w:rPr>
      </w:pPr>
      <w:r>
        <w:drawing>
          <wp:inline distT="0" distB="0" distL="0" distR="0">
            <wp:extent cx="3273425" cy="289687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3284471" cy="2906679"/>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 学生对母校的推荐度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学生对学校的推荐度反映学生对学校整体工作的印像。体育学院毕业生对母校的推荐度很高，说明学校在某方面满足了体育专业的某些特定需求，也是对于近几年体育学院加强了专业建设和场馆条件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建设的肯定。</w:t>
      </w:r>
    </w:p>
    <w:p>
      <w:pPr>
        <w:adjustRightInd w:val="0"/>
        <w:snapToGrid w:val="0"/>
        <w:spacing w:line="360" w:lineRule="auto"/>
        <w:jc w:val="center"/>
        <w:rPr>
          <w:sz w:val="28"/>
          <w:szCs w:val="28"/>
        </w:rPr>
      </w:pPr>
      <w:r>
        <w:drawing>
          <wp:inline distT="0" distB="0" distL="0" distR="0">
            <wp:extent cx="2382520" cy="21570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2385520" cy="2160370"/>
                    </a:xfrm>
                    <a:prstGeom prst="rect">
                      <a:avLst/>
                    </a:prstGeom>
                  </pic:spPr>
                </pic:pic>
              </a:graphicData>
            </a:graphic>
          </wp:inline>
        </w:drawing>
      </w:r>
    </w:p>
    <w:p>
      <w:pPr>
        <w:adjustRightInd w:val="0"/>
        <w:snapToGrid w:val="0"/>
        <w:spacing w:line="360" w:lineRule="auto"/>
        <w:jc w:val="center"/>
        <w:rPr>
          <w:rFonts w:hint="eastAsia"/>
          <w:sz w:val="28"/>
          <w:szCs w:val="28"/>
        </w:rPr>
      </w:pP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（四）就业指导</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就业指导对于学生就业促进、就业签约有着重要作用。体育学院2020届、2021届学生对学院就业指导满意度非别为92%和90%，对于学生就业具有一定的帮助。</w:t>
      </w:r>
    </w:p>
    <w:p>
      <w:pPr>
        <w:adjustRightInd w:val="0"/>
        <w:snapToGrid w:val="0"/>
        <w:spacing w:line="360" w:lineRule="auto"/>
        <w:ind w:firstLine="420" w:firstLineChars="200"/>
        <w:jc w:val="center"/>
        <w:rPr>
          <w:sz w:val="28"/>
          <w:szCs w:val="28"/>
        </w:rPr>
      </w:pPr>
      <w:r>
        <w:drawing>
          <wp:inline distT="0" distB="0" distL="0" distR="0">
            <wp:extent cx="3065780" cy="2643505"/>
            <wp:effectExtent l="0" t="0" r="127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3064950" cy="2642869"/>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（五）学生工作</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学生对学生工作的满意度主要体现在辅导员、班主任以及所有老师对待学生的态度和解决问题的能力上，体育学院2020届为100%、2021届为90%。</w:t>
      </w:r>
    </w:p>
    <w:p>
      <w:pPr>
        <w:adjustRightInd w:val="0"/>
        <w:snapToGrid w:val="0"/>
        <w:spacing w:line="360" w:lineRule="auto"/>
        <w:ind w:firstLine="420" w:firstLineChars="200"/>
        <w:jc w:val="center"/>
        <w:rPr>
          <w:sz w:val="28"/>
          <w:szCs w:val="28"/>
        </w:rPr>
      </w:pPr>
      <w:r>
        <w:drawing>
          <wp:inline distT="0" distB="0" distL="0" distR="0">
            <wp:extent cx="3413125" cy="29521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3425382" cy="2962695"/>
                    </a:xfrm>
                    <a:prstGeom prst="rect">
                      <a:avLst/>
                    </a:prstGeom>
                  </pic:spPr>
                </pic:pic>
              </a:graphicData>
            </a:graphic>
          </wp:inline>
        </w:drawing>
      </w:r>
    </w:p>
    <w:p>
      <w:pPr>
        <w:adjustRightInd w:val="0"/>
        <w:snapToGrid w:val="0"/>
        <w:spacing w:line="360" w:lineRule="auto"/>
        <w:ind w:firstLine="560" w:firstLineChars="200"/>
        <w:jc w:val="center"/>
        <w:rPr>
          <w:sz w:val="28"/>
          <w:szCs w:val="28"/>
        </w:rPr>
      </w:pP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三、整改问题</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从麦可思报告反馈来看，体育学院毕业生对学院的大部分工作较为满意，尤其在就业上反映的更为明显。但要想进一步提高办学水平，体育学院还需在以下几个方面下大力气改进：</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1.师资队伍建设亟需加强。不仅仅在数量上，还要在学历层次和社会实践能力上下功夫。 师资队伍发展态势良好，⼈才队伍的年龄结构、学历结构和学缘结构不断得到优化，⾼层次⼈才数量增长较快，教学团队建设成效显著，队伍建设正在从规模增长型转变为质量提升型发展阶段。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2.改善实训条件。加大投⼊，先后建⽴和改造实训基地和实训室，较先进的设备和良好的环境充分保证了学⽣在校内的各项技能训练和实习。并在社会适用性和创新型上下功夫，体现高校引领社会职业教育。</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专业课以培养学⽣职业岗位能⼒为出发点，重点抓整合，体现综合化、模块化。 及时调整和更新教学内容，掌握⾏业和岗位的最新动态，确保教学内容先进性和针对性。</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3.建立与职业教育相符合配套制度。制定符合职业教育的制度体系，不能照抄别的学校、别的系统制度体系，要体现自己的培养特点、教育优势，拓展本专业师资的社会发展空间。 </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对各专业职业能⼒结构分析和调查研究，并经过各专业指导委员会的研讨，设计出各专业的能⼒结构模块，并以此为依据，设计相应的实践教学内容，构成了由基本能力、专项能力和综合运用能力、职业能力三大能力的实践教学体系。同时各专业制订了与理论教学大纲配套的实践教学大纲、实训课程大纲，做到集中实践教学与课程实践教学、单元训练与综合训练的合理配置和有机联系。明确各实践教学科⽬的考核标准和考核办法；明确基本能力、专项能⼒和综合运⽤能力、职业能⼒的考核标准和考核办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加强校企合作水平。本着与校外实习基地互惠互利的原则，校企合作，共同培养合格人才，服务社会。学⽣严格遵守校外实训基地的规章制度与⽣产操作规范，在真实的职业氛围中增强了质量意识和效率意识，培养了良好的职业习惯和合作精神，职业岗位能力得到了良好的训练。</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kern w:val="0"/>
          <w:sz w:val="24"/>
          <w:szCs w:val="24"/>
          <w:lang w:eastAsia="zh-CN"/>
        </w:rPr>
      </w:pP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kern w:val="0"/>
          <w:sz w:val="24"/>
          <w:szCs w:val="24"/>
          <w:lang w:eastAsia="zh-CN"/>
        </w:rPr>
      </w:pP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kern w:val="0"/>
          <w:sz w:val="24"/>
          <w:szCs w:val="24"/>
          <w:lang w:eastAsia="zh-CN"/>
        </w:rPr>
      </w:pP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kern w:val="0"/>
          <w:sz w:val="24"/>
          <w:szCs w:val="24"/>
          <w:lang w:eastAsia="zh-CN"/>
        </w:rPr>
      </w:pPr>
    </w:p>
    <w:p>
      <w:pPr>
        <w:spacing w:line="360" w:lineRule="auto"/>
        <w:textAlignment w:val="baseline"/>
        <w:rPr>
          <w:rFonts w:ascii="Times New Roman" w:hAnsi="Times New Roman" w:eastAsia="仿宋_GB2312" w:cs="Times New Roman"/>
          <w:b/>
          <w:kern w:val="0"/>
          <w:sz w:val="28"/>
          <w:szCs w:val="28"/>
        </w:rPr>
      </w:pPr>
    </w:p>
    <w:p>
      <w:pPr>
        <w:spacing w:line="360" w:lineRule="auto"/>
        <w:textAlignment w:val="baseline"/>
        <w:rPr>
          <w:rFonts w:ascii="Times New Roman" w:hAnsi="Times New Roman" w:eastAsia="仿宋_GB2312" w:cs="Times New Roman"/>
          <w:b/>
          <w:kern w:val="0"/>
          <w:sz w:val="28"/>
          <w:szCs w:val="28"/>
        </w:rPr>
      </w:pPr>
    </w:p>
    <w:p>
      <w:pPr>
        <w:spacing w:line="360" w:lineRule="auto"/>
        <w:textAlignment w:val="baseline"/>
        <w:rPr>
          <w:rFonts w:ascii="Times New Roman" w:hAnsi="Times New Roman" w:eastAsia="仿宋_GB2312" w:cs="Times New Roman"/>
          <w:b/>
          <w:kern w:val="0"/>
          <w:sz w:val="28"/>
          <w:szCs w:val="28"/>
        </w:rPr>
      </w:pPr>
    </w:p>
    <w:p>
      <w:pPr>
        <w:spacing w:line="360" w:lineRule="auto"/>
        <w:textAlignment w:val="baseline"/>
        <w:rPr>
          <w:rFonts w:ascii="Times New Roman" w:hAnsi="Times New Roman" w:eastAsia="仿宋_GB2312" w:cs="Times New Roman"/>
          <w:b/>
          <w:kern w:val="0"/>
          <w:sz w:val="28"/>
          <w:szCs w:val="28"/>
        </w:rPr>
      </w:pPr>
    </w:p>
    <w:p>
      <w:pPr>
        <w:spacing w:line="360" w:lineRule="auto"/>
        <w:textAlignment w:val="baseline"/>
        <w:rPr>
          <w:rFonts w:ascii="Times New Roman" w:hAnsi="Times New Roman" w:eastAsia="仿宋_GB2312" w:cs="Times New Roman"/>
          <w:b/>
          <w:kern w:val="0"/>
          <w:sz w:val="28"/>
          <w:szCs w:val="28"/>
        </w:rPr>
      </w:pPr>
    </w:p>
    <w:p>
      <w:pPr>
        <w:spacing w:line="360" w:lineRule="auto"/>
        <w:textAlignment w:val="baseline"/>
        <w:rPr>
          <w:rFonts w:ascii="Times New Roman" w:hAnsi="Times New Roman" w:eastAsia="仿宋_GB2312" w:cs="Times New Roman"/>
          <w:b/>
          <w:kern w:val="0"/>
          <w:sz w:val="28"/>
          <w:szCs w:val="28"/>
        </w:rPr>
      </w:pPr>
    </w:p>
    <w:p>
      <w:pPr>
        <w:spacing w:line="360" w:lineRule="auto"/>
        <w:textAlignment w:val="baseline"/>
        <w:rPr>
          <w:rFonts w:ascii="Times New Roman" w:hAnsi="Times New Roman" w:eastAsia="仿宋_GB2312" w:cs="Times New Roman"/>
          <w:b/>
          <w:kern w:val="0"/>
          <w:sz w:val="28"/>
          <w:szCs w:val="28"/>
        </w:rPr>
      </w:pPr>
    </w:p>
    <w:p>
      <w:pPr>
        <w:spacing w:line="360" w:lineRule="auto"/>
        <w:textAlignment w:val="baseline"/>
        <w:rPr>
          <w:rFonts w:ascii="Times New Roman" w:hAnsi="Times New Roman" w:eastAsia="仿宋_GB2312" w:cs="Times New Roman"/>
          <w:b/>
          <w:kern w:val="0"/>
          <w:sz w:val="28"/>
          <w:szCs w:val="28"/>
        </w:rPr>
      </w:pPr>
    </w:p>
    <w:p>
      <w:pPr>
        <w:spacing w:line="360" w:lineRule="auto"/>
        <w:textAlignment w:val="baseline"/>
        <w:rPr>
          <w:rFonts w:ascii="Times New Roman" w:hAnsi="Times New Roman" w:eastAsia="仿宋_GB2312" w:cs="Times New Roman"/>
          <w:b/>
          <w:kern w:val="0"/>
          <w:sz w:val="28"/>
          <w:szCs w:val="28"/>
        </w:rPr>
      </w:pPr>
      <w:bookmarkStart w:id="19" w:name="_GoBack"/>
      <w:bookmarkEnd w:id="19"/>
      <w:r>
        <w:rPr>
          <w:rFonts w:ascii="Times New Roman" w:hAnsi="Times New Roman" w:eastAsia="仿宋_GB2312" w:cs="Times New Roman"/>
          <w:b/>
          <w:kern w:val="0"/>
          <w:sz w:val="28"/>
          <w:szCs w:val="28"/>
        </w:rPr>
        <w:t>报送：校领导</w:t>
      </w:r>
    </w:p>
    <w:p>
      <w:pPr>
        <w:spacing w:line="400" w:lineRule="exact"/>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分送：各学院、教务处、学工部、人事处、档案室</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ingFangSC-Regular">
    <w:altName w:val="Segoe Print"/>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B096F"/>
    <w:multiLevelType w:val="singleLevel"/>
    <w:tmpl w:val="211B096F"/>
    <w:lvl w:ilvl="0" w:tentative="0">
      <w:start w:val="5"/>
      <w:numFmt w:val="chineseCounting"/>
      <w:suff w:val="nothing"/>
      <w:lvlText w:val="（%1）"/>
      <w:lvlJc w:val="left"/>
      <w:rPr>
        <w:rFonts w:hint="eastAsia"/>
      </w:rPr>
    </w:lvl>
  </w:abstractNum>
  <w:abstractNum w:abstractNumId="1">
    <w:nsid w:val="631C1ED1"/>
    <w:multiLevelType w:val="singleLevel"/>
    <w:tmpl w:val="631C1ED1"/>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0YzVhODgyYzJmMDQ2MTMxN2VjNjFiZmQ4OGIxNTQifQ=="/>
  </w:docVars>
  <w:rsids>
    <w:rsidRoot w:val="00062942"/>
    <w:rsid w:val="00002944"/>
    <w:rsid w:val="0000417E"/>
    <w:rsid w:val="00004BCB"/>
    <w:rsid w:val="0000647A"/>
    <w:rsid w:val="0000661A"/>
    <w:rsid w:val="0000722D"/>
    <w:rsid w:val="00007B2B"/>
    <w:rsid w:val="00012B18"/>
    <w:rsid w:val="000141B2"/>
    <w:rsid w:val="00015F0B"/>
    <w:rsid w:val="00023000"/>
    <w:rsid w:val="00023552"/>
    <w:rsid w:val="00025143"/>
    <w:rsid w:val="00025CE4"/>
    <w:rsid w:val="000267DE"/>
    <w:rsid w:val="00031322"/>
    <w:rsid w:val="00032745"/>
    <w:rsid w:val="00035B27"/>
    <w:rsid w:val="00043472"/>
    <w:rsid w:val="000441FD"/>
    <w:rsid w:val="000445C8"/>
    <w:rsid w:val="00045893"/>
    <w:rsid w:val="00045DD0"/>
    <w:rsid w:val="00047298"/>
    <w:rsid w:val="00047E20"/>
    <w:rsid w:val="000501DB"/>
    <w:rsid w:val="000509A4"/>
    <w:rsid w:val="00056785"/>
    <w:rsid w:val="0005788C"/>
    <w:rsid w:val="000613A0"/>
    <w:rsid w:val="00062942"/>
    <w:rsid w:val="00063C7D"/>
    <w:rsid w:val="00063EF9"/>
    <w:rsid w:val="00064925"/>
    <w:rsid w:val="00065396"/>
    <w:rsid w:val="000676F6"/>
    <w:rsid w:val="00071E13"/>
    <w:rsid w:val="00073826"/>
    <w:rsid w:val="00074AF7"/>
    <w:rsid w:val="00074C9F"/>
    <w:rsid w:val="00075A1A"/>
    <w:rsid w:val="000768A2"/>
    <w:rsid w:val="000917C4"/>
    <w:rsid w:val="000942BF"/>
    <w:rsid w:val="00095732"/>
    <w:rsid w:val="000A51E2"/>
    <w:rsid w:val="000A57AC"/>
    <w:rsid w:val="000A767F"/>
    <w:rsid w:val="000B1356"/>
    <w:rsid w:val="000B219A"/>
    <w:rsid w:val="000B319C"/>
    <w:rsid w:val="000B4301"/>
    <w:rsid w:val="000B7E5B"/>
    <w:rsid w:val="000C23F0"/>
    <w:rsid w:val="000C455C"/>
    <w:rsid w:val="000C7D44"/>
    <w:rsid w:val="000D5224"/>
    <w:rsid w:val="000D56FD"/>
    <w:rsid w:val="000D6BE1"/>
    <w:rsid w:val="000E0494"/>
    <w:rsid w:val="000E070A"/>
    <w:rsid w:val="000E1A20"/>
    <w:rsid w:val="000E62E3"/>
    <w:rsid w:val="000E633E"/>
    <w:rsid w:val="000E73EE"/>
    <w:rsid w:val="000E7BC8"/>
    <w:rsid w:val="000F591B"/>
    <w:rsid w:val="000F5B09"/>
    <w:rsid w:val="000F676D"/>
    <w:rsid w:val="000F7260"/>
    <w:rsid w:val="000F76C4"/>
    <w:rsid w:val="000F7F72"/>
    <w:rsid w:val="001020BE"/>
    <w:rsid w:val="0010565E"/>
    <w:rsid w:val="00105A95"/>
    <w:rsid w:val="00106285"/>
    <w:rsid w:val="00107446"/>
    <w:rsid w:val="00110832"/>
    <w:rsid w:val="001111D0"/>
    <w:rsid w:val="0011162C"/>
    <w:rsid w:val="00113895"/>
    <w:rsid w:val="001156F6"/>
    <w:rsid w:val="001164D6"/>
    <w:rsid w:val="0012130A"/>
    <w:rsid w:val="001214DC"/>
    <w:rsid w:val="00121961"/>
    <w:rsid w:val="001233FB"/>
    <w:rsid w:val="00123572"/>
    <w:rsid w:val="00123A67"/>
    <w:rsid w:val="00124E27"/>
    <w:rsid w:val="0012580F"/>
    <w:rsid w:val="001260B9"/>
    <w:rsid w:val="00132117"/>
    <w:rsid w:val="001324C9"/>
    <w:rsid w:val="001366F6"/>
    <w:rsid w:val="0014094B"/>
    <w:rsid w:val="0014132F"/>
    <w:rsid w:val="00141850"/>
    <w:rsid w:val="00142C54"/>
    <w:rsid w:val="00143903"/>
    <w:rsid w:val="00144410"/>
    <w:rsid w:val="00145296"/>
    <w:rsid w:val="00145871"/>
    <w:rsid w:val="00146325"/>
    <w:rsid w:val="0015019E"/>
    <w:rsid w:val="00150909"/>
    <w:rsid w:val="00150BA0"/>
    <w:rsid w:val="001514FE"/>
    <w:rsid w:val="001536C7"/>
    <w:rsid w:val="00157CC6"/>
    <w:rsid w:val="00160C7B"/>
    <w:rsid w:val="00161022"/>
    <w:rsid w:val="00162B91"/>
    <w:rsid w:val="00163BA5"/>
    <w:rsid w:val="001650BF"/>
    <w:rsid w:val="001678D6"/>
    <w:rsid w:val="00170693"/>
    <w:rsid w:val="00170DE3"/>
    <w:rsid w:val="00171299"/>
    <w:rsid w:val="00173D87"/>
    <w:rsid w:val="0017493E"/>
    <w:rsid w:val="00175471"/>
    <w:rsid w:val="0017697B"/>
    <w:rsid w:val="00181414"/>
    <w:rsid w:val="00182048"/>
    <w:rsid w:val="00184DCE"/>
    <w:rsid w:val="0018524F"/>
    <w:rsid w:val="00185485"/>
    <w:rsid w:val="0018652B"/>
    <w:rsid w:val="0019156A"/>
    <w:rsid w:val="00192D07"/>
    <w:rsid w:val="0019462D"/>
    <w:rsid w:val="001973A4"/>
    <w:rsid w:val="001A0C08"/>
    <w:rsid w:val="001A0F4B"/>
    <w:rsid w:val="001A3001"/>
    <w:rsid w:val="001A4ABA"/>
    <w:rsid w:val="001A6FC1"/>
    <w:rsid w:val="001B11FE"/>
    <w:rsid w:val="001B2B14"/>
    <w:rsid w:val="001B5F3E"/>
    <w:rsid w:val="001B772F"/>
    <w:rsid w:val="001C0417"/>
    <w:rsid w:val="001C0AFA"/>
    <w:rsid w:val="001C1D47"/>
    <w:rsid w:val="001C3195"/>
    <w:rsid w:val="001C31A1"/>
    <w:rsid w:val="001C5415"/>
    <w:rsid w:val="001C57E5"/>
    <w:rsid w:val="001C6404"/>
    <w:rsid w:val="001D052B"/>
    <w:rsid w:val="001D0AAE"/>
    <w:rsid w:val="001D2DD8"/>
    <w:rsid w:val="001D304C"/>
    <w:rsid w:val="001D3C34"/>
    <w:rsid w:val="001D6AEC"/>
    <w:rsid w:val="001D7D1B"/>
    <w:rsid w:val="001E2ED0"/>
    <w:rsid w:val="001E598C"/>
    <w:rsid w:val="001E6A37"/>
    <w:rsid w:val="001E6F81"/>
    <w:rsid w:val="001F39B2"/>
    <w:rsid w:val="001F58C3"/>
    <w:rsid w:val="001F63BF"/>
    <w:rsid w:val="00203B2E"/>
    <w:rsid w:val="0020406A"/>
    <w:rsid w:val="002041DF"/>
    <w:rsid w:val="00206906"/>
    <w:rsid w:val="0021130F"/>
    <w:rsid w:val="00211DA8"/>
    <w:rsid w:val="0021209B"/>
    <w:rsid w:val="002132E8"/>
    <w:rsid w:val="002167BD"/>
    <w:rsid w:val="00216C80"/>
    <w:rsid w:val="002176F0"/>
    <w:rsid w:val="0021774D"/>
    <w:rsid w:val="0022240B"/>
    <w:rsid w:val="002247C4"/>
    <w:rsid w:val="00225A5A"/>
    <w:rsid w:val="0022677E"/>
    <w:rsid w:val="00230194"/>
    <w:rsid w:val="00230830"/>
    <w:rsid w:val="00233114"/>
    <w:rsid w:val="0023670A"/>
    <w:rsid w:val="00236E8C"/>
    <w:rsid w:val="00237F3B"/>
    <w:rsid w:val="00240A6A"/>
    <w:rsid w:val="00242371"/>
    <w:rsid w:val="002428FC"/>
    <w:rsid w:val="00242BBB"/>
    <w:rsid w:val="00245507"/>
    <w:rsid w:val="00247284"/>
    <w:rsid w:val="00250C8B"/>
    <w:rsid w:val="00252A95"/>
    <w:rsid w:val="00254D1E"/>
    <w:rsid w:val="00255B31"/>
    <w:rsid w:val="00255C08"/>
    <w:rsid w:val="00256FF3"/>
    <w:rsid w:val="00257589"/>
    <w:rsid w:val="00260956"/>
    <w:rsid w:val="00261548"/>
    <w:rsid w:val="002636B8"/>
    <w:rsid w:val="00263D4B"/>
    <w:rsid w:val="00264FC3"/>
    <w:rsid w:val="002675AF"/>
    <w:rsid w:val="00267BE8"/>
    <w:rsid w:val="002712CD"/>
    <w:rsid w:val="00271D1A"/>
    <w:rsid w:val="00273F76"/>
    <w:rsid w:val="002753D6"/>
    <w:rsid w:val="002761D1"/>
    <w:rsid w:val="00276B86"/>
    <w:rsid w:val="00276B8C"/>
    <w:rsid w:val="00277647"/>
    <w:rsid w:val="00277711"/>
    <w:rsid w:val="00277E9C"/>
    <w:rsid w:val="00281941"/>
    <w:rsid w:val="00282F27"/>
    <w:rsid w:val="002841E9"/>
    <w:rsid w:val="00285F1D"/>
    <w:rsid w:val="00286B36"/>
    <w:rsid w:val="00290980"/>
    <w:rsid w:val="00296853"/>
    <w:rsid w:val="002A0EC5"/>
    <w:rsid w:val="002A18C4"/>
    <w:rsid w:val="002A2729"/>
    <w:rsid w:val="002A2F3A"/>
    <w:rsid w:val="002A3B73"/>
    <w:rsid w:val="002A65C1"/>
    <w:rsid w:val="002A692B"/>
    <w:rsid w:val="002A7A57"/>
    <w:rsid w:val="002B0638"/>
    <w:rsid w:val="002B3A3F"/>
    <w:rsid w:val="002B4F2F"/>
    <w:rsid w:val="002B7643"/>
    <w:rsid w:val="002B7FB0"/>
    <w:rsid w:val="002C0636"/>
    <w:rsid w:val="002C080D"/>
    <w:rsid w:val="002C25D8"/>
    <w:rsid w:val="002C2AEA"/>
    <w:rsid w:val="002C2EE4"/>
    <w:rsid w:val="002C33A4"/>
    <w:rsid w:val="002C35E5"/>
    <w:rsid w:val="002C5E46"/>
    <w:rsid w:val="002C5E73"/>
    <w:rsid w:val="002C6FE8"/>
    <w:rsid w:val="002C7296"/>
    <w:rsid w:val="002D0D06"/>
    <w:rsid w:val="002D0F4B"/>
    <w:rsid w:val="002D13C3"/>
    <w:rsid w:val="002D2673"/>
    <w:rsid w:val="002D3A2B"/>
    <w:rsid w:val="002D5201"/>
    <w:rsid w:val="002D7925"/>
    <w:rsid w:val="002E3DC9"/>
    <w:rsid w:val="002E5776"/>
    <w:rsid w:val="002E599D"/>
    <w:rsid w:val="002E5D01"/>
    <w:rsid w:val="002E714F"/>
    <w:rsid w:val="002E7494"/>
    <w:rsid w:val="002F3AB6"/>
    <w:rsid w:val="002F3C34"/>
    <w:rsid w:val="002F426B"/>
    <w:rsid w:val="002F4BDF"/>
    <w:rsid w:val="002F7DF8"/>
    <w:rsid w:val="00300234"/>
    <w:rsid w:val="00300523"/>
    <w:rsid w:val="00300E07"/>
    <w:rsid w:val="00300F7E"/>
    <w:rsid w:val="003036A9"/>
    <w:rsid w:val="003041DD"/>
    <w:rsid w:val="0030433C"/>
    <w:rsid w:val="003049B8"/>
    <w:rsid w:val="00305F82"/>
    <w:rsid w:val="00310754"/>
    <w:rsid w:val="00310D8C"/>
    <w:rsid w:val="00313871"/>
    <w:rsid w:val="003139E0"/>
    <w:rsid w:val="00313E80"/>
    <w:rsid w:val="00314D7D"/>
    <w:rsid w:val="00315709"/>
    <w:rsid w:val="003162D1"/>
    <w:rsid w:val="00317242"/>
    <w:rsid w:val="0032340F"/>
    <w:rsid w:val="00324445"/>
    <w:rsid w:val="00325804"/>
    <w:rsid w:val="00325BA4"/>
    <w:rsid w:val="00327080"/>
    <w:rsid w:val="00330617"/>
    <w:rsid w:val="00330CBE"/>
    <w:rsid w:val="00331E85"/>
    <w:rsid w:val="003325AD"/>
    <w:rsid w:val="00334E1C"/>
    <w:rsid w:val="00341A56"/>
    <w:rsid w:val="00341D44"/>
    <w:rsid w:val="00345C82"/>
    <w:rsid w:val="003509C1"/>
    <w:rsid w:val="00351024"/>
    <w:rsid w:val="00354EAD"/>
    <w:rsid w:val="00355246"/>
    <w:rsid w:val="003556AF"/>
    <w:rsid w:val="00355B04"/>
    <w:rsid w:val="00355D0D"/>
    <w:rsid w:val="0035698A"/>
    <w:rsid w:val="003601CF"/>
    <w:rsid w:val="003608CD"/>
    <w:rsid w:val="00362FC2"/>
    <w:rsid w:val="0036460F"/>
    <w:rsid w:val="0036690D"/>
    <w:rsid w:val="003721B0"/>
    <w:rsid w:val="00372920"/>
    <w:rsid w:val="003729BC"/>
    <w:rsid w:val="00373C5B"/>
    <w:rsid w:val="003741CB"/>
    <w:rsid w:val="003760D9"/>
    <w:rsid w:val="003775F5"/>
    <w:rsid w:val="00380F9D"/>
    <w:rsid w:val="0038262D"/>
    <w:rsid w:val="003833DC"/>
    <w:rsid w:val="00384E0D"/>
    <w:rsid w:val="00387306"/>
    <w:rsid w:val="00390CE9"/>
    <w:rsid w:val="00390F5F"/>
    <w:rsid w:val="0039188C"/>
    <w:rsid w:val="00391DCF"/>
    <w:rsid w:val="00393544"/>
    <w:rsid w:val="003938D5"/>
    <w:rsid w:val="003959DF"/>
    <w:rsid w:val="00397A97"/>
    <w:rsid w:val="003A0900"/>
    <w:rsid w:val="003A1BC9"/>
    <w:rsid w:val="003A2911"/>
    <w:rsid w:val="003A42FF"/>
    <w:rsid w:val="003A4DC2"/>
    <w:rsid w:val="003A58B7"/>
    <w:rsid w:val="003A5CBE"/>
    <w:rsid w:val="003A67EF"/>
    <w:rsid w:val="003A7475"/>
    <w:rsid w:val="003B00A1"/>
    <w:rsid w:val="003B1178"/>
    <w:rsid w:val="003B2D04"/>
    <w:rsid w:val="003B32C1"/>
    <w:rsid w:val="003B35A5"/>
    <w:rsid w:val="003B48AE"/>
    <w:rsid w:val="003B4D56"/>
    <w:rsid w:val="003B5AA0"/>
    <w:rsid w:val="003B679E"/>
    <w:rsid w:val="003C019E"/>
    <w:rsid w:val="003C2AB0"/>
    <w:rsid w:val="003C2AD2"/>
    <w:rsid w:val="003C34F9"/>
    <w:rsid w:val="003C39BD"/>
    <w:rsid w:val="003C48FC"/>
    <w:rsid w:val="003C52AF"/>
    <w:rsid w:val="003D1A63"/>
    <w:rsid w:val="003D1C22"/>
    <w:rsid w:val="003D4562"/>
    <w:rsid w:val="003D4EA9"/>
    <w:rsid w:val="003D6D96"/>
    <w:rsid w:val="003E0663"/>
    <w:rsid w:val="003E0870"/>
    <w:rsid w:val="003E3D12"/>
    <w:rsid w:val="003E61D9"/>
    <w:rsid w:val="003E7269"/>
    <w:rsid w:val="003E75FA"/>
    <w:rsid w:val="003E762E"/>
    <w:rsid w:val="003F1713"/>
    <w:rsid w:val="003F414F"/>
    <w:rsid w:val="003F472C"/>
    <w:rsid w:val="003F6470"/>
    <w:rsid w:val="003F67B4"/>
    <w:rsid w:val="003F7D6F"/>
    <w:rsid w:val="004013FC"/>
    <w:rsid w:val="00403BDA"/>
    <w:rsid w:val="0040495E"/>
    <w:rsid w:val="004079E2"/>
    <w:rsid w:val="00410BD5"/>
    <w:rsid w:val="00414BF5"/>
    <w:rsid w:val="004152F8"/>
    <w:rsid w:val="004153CD"/>
    <w:rsid w:val="00415847"/>
    <w:rsid w:val="004159D1"/>
    <w:rsid w:val="004161B1"/>
    <w:rsid w:val="00421F70"/>
    <w:rsid w:val="0042252B"/>
    <w:rsid w:val="004276E2"/>
    <w:rsid w:val="0042796C"/>
    <w:rsid w:val="00430E6B"/>
    <w:rsid w:val="00432227"/>
    <w:rsid w:val="00432775"/>
    <w:rsid w:val="00433FBB"/>
    <w:rsid w:val="004344BA"/>
    <w:rsid w:val="00435BBF"/>
    <w:rsid w:val="00436183"/>
    <w:rsid w:val="00437938"/>
    <w:rsid w:val="00440708"/>
    <w:rsid w:val="004413ED"/>
    <w:rsid w:val="00441D9D"/>
    <w:rsid w:val="00442F96"/>
    <w:rsid w:val="00443005"/>
    <w:rsid w:val="00443A1C"/>
    <w:rsid w:val="00444574"/>
    <w:rsid w:val="00444865"/>
    <w:rsid w:val="00445666"/>
    <w:rsid w:val="004472C2"/>
    <w:rsid w:val="0044761A"/>
    <w:rsid w:val="00450032"/>
    <w:rsid w:val="00451205"/>
    <w:rsid w:val="004516F6"/>
    <w:rsid w:val="004519E0"/>
    <w:rsid w:val="00451E11"/>
    <w:rsid w:val="004547FD"/>
    <w:rsid w:val="00455086"/>
    <w:rsid w:val="00460D45"/>
    <w:rsid w:val="00462253"/>
    <w:rsid w:val="0046617A"/>
    <w:rsid w:val="00466479"/>
    <w:rsid w:val="0047061C"/>
    <w:rsid w:val="00471353"/>
    <w:rsid w:val="00471DA3"/>
    <w:rsid w:val="00471FDC"/>
    <w:rsid w:val="0047547A"/>
    <w:rsid w:val="00476BB9"/>
    <w:rsid w:val="00481048"/>
    <w:rsid w:val="00481B1D"/>
    <w:rsid w:val="00481EB4"/>
    <w:rsid w:val="00482B1A"/>
    <w:rsid w:val="00482CF6"/>
    <w:rsid w:val="0048478C"/>
    <w:rsid w:val="00486001"/>
    <w:rsid w:val="0049282B"/>
    <w:rsid w:val="00492D93"/>
    <w:rsid w:val="00493342"/>
    <w:rsid w:val="00495741"/>
    <w:rsid w:val="00496C70"/>
    <w:rsid w:val="00496DBC"/>
    <w:rsid w:val="0049762D"/>
    <w:rsid w:val="004A1A14"/>
    <w:rsid w:val="004A29B6"/>
    <w:rsid w:val="004A6965"/>
    <w:rsid w:val="004B1329"/>
    <w:rsid w:val="004B26C6"/>
    <w:rsid w:val="004B3852"/>
    <w:rsid w:val="004B4410"/>
    <w:rsid w:val="004B48E1"/>
    <w:rsid w:val="004C06BC"/>
    <w:rsid w:val="004C21C2"/>
    <w:rsid w:val="004C4DBE"/>
    <w:rsid w:val="004C5EC3"/>
    <w:rsid w:val="004C6415"/>
    <w:rsid w:val="004D05B4"/>
    <w:rsid w:val="004D2831"/>
    <w:rsid w:val="004D3EDF"/>
    <w:rsid w:val="004D7487"/>
    <w:rsid w:val="004D7A75"/>
    <w:rsid w:val="004D7B1A"/>
    <w:rsid w:val="004E3A51"/>
    <w:rsid w:val="004E42AC"/>
    <w:rsid w:val="004E475A"/>
    <w:rsid w:val="004E4B08"/>
    <w:rsid w:val="004E5BDF"/>
    <w:rsid w:val="004E610A"/>
    <w:rsid w:val="004F0F94"/>
    <w:rsid w:val="004F135D"/>
    <w:rsid w:val="004F24F6"/>
    <w:rsid w:val="004F2D16"/>
    <w:rsid w:val="004F3C6F"/>
    <w:rsid w:val="004F49BB"/>
    <w:rsid w:val="004F6378"/>
    <w:rsid w:val="004F78B7"/>
    <w:rsid w:val="004F79C2"/>
    <w:rsid w:val="004F7A6B"/>
    <w:rsid w:val="00501AB4"/>
    <w:rsid w:val="00502506"/>
    <w:rsid w:val="0050518A"/>
    <w:rsid w:val="005056C9"/>
    <w:rsid w:val="00513116"/>
    <w:rsid w:val="005145AA"/>
    <w:rsid w:val="00514CB4"/>
    <w:rsid w:val="00515874"/>
    <w:rsid w:val="005168CA"/>
    <w:rsid w:val="0052012A"/>
    <w:rsid w:val="00521209"/>
    <w:rsid w:val="005236D3"/>
    <w:rsid w:val="0052392A"/>
    <w:rsid w:val="00523EA8"/>
    <w:rsid w:val="005248F9"/>
    <w:rsid w:val="00526283"/>
    <w:rsid w:val="005262CF"/>
    <w:rsid w:val="005263FE"/>
    <w:rsid w:val="00530910"/>
    <w:rsid w:val="005310D2"/>
    <w:rsid w:val="0053412B"/>
    <w:rsid w:val="00534BB1"/>
    <w:rsid w:val="00537BA4"/>
    <w:rsid w:val="00541881"/>
    <w:rsid w:val="00542751"/>
    <w:rsid w:val="00542C66"/>
    <w:rsid w:val="00546868"/>
    <w:rsid w:val="0055046E"/>
    <w:rsid w:val="005513ED"/>
    <w:rsid w:val="0055167B"/>
    <w:rsid w:val="00554AD4"/>
    <w:rsid w:val="0055756A"/>
    <w:rsid w:val="00560441"/>
    <w:rsid w:val="00561B46"/>
    <w:rsid w:val="00562639"/>
    <w:rsid w:val="00563097"/>
    <w:rsid w:val="005714DA"/>
    <w:rsid w:val="00571F2A"/>
    <w:rsid w:val="005725C6"/>
    <w:rsid w:val="00572FED"/>
    <w:rsid w:val="005732AF"/>
    <w:rsid w:val="0057742C"/>
    <w:rsid w:val="00580B2A"/>
    <w:rsid w:val="005810FF"/>
    <w:rsid w:val="005842EB"/>
    <w:rsid w:val="005847ED"/>
    <w:rsid w:val="0058484E"/>
    <w:rsid w:val="00584C32"/>
    <w:rsid w:val="00585134"/>
    <w:rsid w:val="005853F3"/>
    <w:rsid w:val="00587C15"/>
    <w:rsid w:val="0059026A"/>
    <w:rsid w:val="00590461"/>
    <w:rsid w:val="0059106E"/>
    <w:rsid w:val="00591B0A"/>
    <w:rsid w:val="00591E1E"/>
    <w:rsid w:val="00592057"/>
    <w:rsid w:val="0059385D"/>
    <w:rsid w:val="0059445F"/>
    <w:rsid w:val="005A1DE3"/>
    <w:rsid w:val="005A69CA"/>
    <w:rsid w:val="005B0EEF"/>
    <w:rsid w:val="005B0F69"/>
    <w:rsid w:val="005B1C4D"/>
    <w:rsid w:val="005B1FDA"/>
    <w:rsid w:val="005B31E8"/>
    <w:rsid w:val="005B3231"/>
    <w:rsid w:val="005B3ACB"/>
    <w:rsid w:val="005B405E"/>
    <w:rsid w:val="005B48E7"/>
    <w:rsid w:val="005B61D7"/>
    <w:rsid w:val="005B625A"/>
    <w:rsid w:val="005B798A"/>
    <w:rsid w:val="005C0656"/>
    <w:rsid w:val="005C0BE0"/>
    <w:rsid w:val="005C2DAF"/>
    <w:rsid w:val="005C3995"/>
    <w:rsid w:val="005C4185"/>
    <w:rsid w:val="005C53DB"/>
    <w:rsid w:val="005C556B"/>
    <w:rsid w:val="005C5952"/>
    <w:rsid w:val="005C6B92"/>
    <w:rsid w:val="005C7D8C"/>
    <w:rsid w:val="005D2AD8"/>
    <w:rsid w:val="005D4CCD"/>
    <w:rsid w:val="005D5A3A"/>
    <w:rsid w:val="005D5A91"/>
    <w:rsid w:val="005D7D9F"/>
    <w:rsid w:val="005E1425"/>
    <w:rsid w:val="005E24E7"/>
    <w:rsid w:val="005E455C"/>
    <w:rsid w:val="005E4B78"/>
    <w:rsid w:val="005E5115"/>
    <w:rsid w:val="005E7613"/>
    <w:rsid w:val="005F097D"/>
    <w:rsid w:val="005F3AEA"/>
    <w:rsid w:val="005F4550"/>
    <w:rsid w:val="005F5041"/>
    <w:rsid w:val="005F545C"/>
    <w:rsid w:val="005F6470"/>
    <w:rsid w:val="005F6F25"/>
    <w:rsid w:val="005F7DBD"/>
    <w:rsid w:val="006022C4"/>
    <w:rsid w:val="00604C41"/>
    <w:rsid w:val="00605D87"/>
    <w:rsid w:val="006062A6"/>
    <w:rsid w:val="0060718D"/>
    <w:rsid w:val="00607AE1"/>
    <w:rsid w:val="00611FAF"/>
    <w:rsid w:val="006130F1"/>
    <w:rsid w:val="00613F34"/>
    <w:rsid w:val="00616F12"/>
    <w:rsid w:val="00624334"/>
    <w:rsid w:val="00624368"/>
    <w:rsid w:val="0062724B"/>
    <w:rsid w:val="006272B6"/>
    <w:rsid w:val="00633B4A"/>
    <w:rsid w:val="00634846"/>
    <w:rsid w:val="00635867"/>
    <w:rsid w:val="00635C94"/>
    <w:rsid w:val="00636B1A"/>
    <w:rsid w:val="0063742C"/>
    <w:rsid w:val="00646898"/>
    <w:rsid w:val="00653398"/>
    <w:rsid w:val="0065405F"/>
    <w:rsid w:val="006542C9"/>
    <w:rsid w:val="00654474"/>
    <w:rsid w:val="006545F0"/>
    <w:rsid w:val="006577AD"/>
    <w:rsid w:val="00663F78"/>
    <w:rsid w:val="006643CF"/>
    <w:rsid w:val="006669DE"/>
    <w:rsid w:val="0066795D"/>
    <w:rsid w:val="00667FAA"/>
    <w:rsid w:val="00670361"/>
    <w:rsid w:val="0067148D"/>
    <w:rsid w:val="00671E1C"/>
    <w:rsid w:val="00675C80"/>
    <w:rsid w:val="006762A8"/>
    <w:rsid w:val="00676538"/>
    <w:rsid w:val="0068318B"/>
    <w:rsid w:val="00684C65"/>
    <w:rsid w:val="00686F9A"/>
    <w:rsid w:val="00690450"/>
    <w:rsid w:val="00691655"/>
    <w:rsid w:val="00691ACD"/>
    <w:rsid w:val="00693061"/>
    <w:rsid w:val="0069373B"/>
    <w:rsid w:val="00697290"/>
    <w:rsid w:val="006A059B"/>
    <w:rsid w:val="006A0EE0"/>
    <w:rsid w:val="006A4DC9"/>
    <w:rsid w:val="006A5A8D"/>
    <w:rsid w:val="006A6087"/>
    <w:rsid w:val="006A7ED0"/>
    <w:rsid w:val="006B1A94"/>
    <w:rsid w:val="006B40E9"/>
    <w:rsid w:val="006B44D3"/>
    <w:rsid w:val="006B4EF1"/>
    <w:rsid w:val="006B517C"/>
    <w:rsid w:val="006B6D2C"/>
    <w:rsid w:val="006B6D83"/>
    <w:rsid w:val="006C0436"/>
    <w:rsid w:val="006C05F0"/>
    <w:rsid w:val="006C08A2"/>
    <w:rsid w:val="006C1648"/>
    <w:rsid w:val="006C18FC"/>
    <w:rsid w:val="006C3567"/>
    <w:rsid w:val="006C74EB"/>
    <w:rsid w:val="006C7BD6"/>
    <w:rsid w:val="006D11D7"/>
    <w:rsid w:val="006D1A0A"/>
    <w:rsid w:val="006D5789"/>
    <w:rsid w:val="006D71FA"/>
    <w:rsid w:val="006D72FD"/>
    <w:rsid w:val="006E32E2"/>
    <w:rsid w:val="006E6784"/>
    <w:rsid w:val="006E7D72"/>
    <w:rsid w:val="006F3414"/>
    <w:rsid w:val="006F5F93"/>
    <w:rsid w:val="00701624"/>
    <w:rsid w:val="007027DB"/>
    <w:rsid w:val="007079BE"/>
    <w:rsid w:val="00710845"/>
    <w:rsid w:val="007123E3"/>
    <w:rsid w:val="0071513D"/>
    <w:rsid w:val="0072284B"/>
    <w:rsid w:val="0072318F"/>
    <w:rsid w:val="00723B0C"/>
    <w:rsid w:val="00724073"/>
    <w:rsid w:val="00724F14"/>
    <w:rsid w:val="00730401"/>
    <w:rsid w:val="0073081A"/>
    <w:rsid w:val="00730B0F"/>
    <w:rsid w:val="00733B9D"/>
    <w:rsid w:val="00733FB5"/>
    <w:rsid w:val="00735896"/>
    <w:rsid w:val="007365D1"/>
    <w:rsid w:val="00741237"/>
    <w:rsid w:val="0074147E"/>
    <w:rsid w:val="0074495C"/>
    <w:rsid w:val="007450C0"/>
    <w:rsid w:val="007454C5"/>
    <w:rsid w:val="007472B0"/>
    <w:rsid w:val="0075029D"/>
    <w:rsid w:val="007502FC"/>
    <w:rsid w:val="007506F4"/>
    <w:rsid w:val="007515E0"/>
    <w:rsid w:val="0076226B"/>
    <w:rsid w:val="00764BF5"/>
    <w:rsid w:val="00764CA0"/>
    <w:rsid w:val="00765B7C"/>
    <w:rsid w:val="00765E26"/>
    <w:rsid w:val="007675EC"/>
    <w:rsid w:val="0077042A"/>
    <w:rsid w:val="0077091C"/>
    <w:rsid w:val="00772223"/>
    <w:rsid w:val="00776773"/>
    <w:rsid w:val="00777A00"/>
    <w:rsid w:val="0078010F"/>
    <w:rsid w:val="00780648"/>
    <w:rsid w:val="0078226F"/>
    <w:rsid w:val="007835E3"/>
    <w:rsid w:val="00783B79"/>
    <w:rsid w:val="00784555"/>
    <w:rsid w:val="0078619D"/>
    <w:rsid w:val="00787808"/>
    <w:rsid w:val="007907BB"/>
    <w:rsid w:val="007948B2"/>
    <w:rsid w:val="00795F7B"/>
    <w:rsid w:val="007A00AB"/>
    <w:rsid w:val="007A0860"/>
    <w:rsid w:val="007A251A"/>
    <w:rsid w:val="007B2059"/>
    <w:rsid w:val="007B24C5"/>
    <w:rsid w:val="007B2747"/>
    <w:rsid w:val="007B4318"/>
    <w:rsid w:val="007B5856"/>
    <w:rsid w:val="007C05BC"/>
    <w:rsid w:val="007C2537"/>
    <w:rsid w:val="007D31AE"/>
    <w:rsid w:val="007D63BA"/>
    <w:rsid w:val="007D705A"/>
    <w:rsid w:val="007E10FC"/>
    <w:rsid w:val="007E2836"/>
    <w:rsid w:val="007E3DDB"/>
    <w:rsid w:val="007E66CD"/>
    <w:rsid w:val="007F1245"/>
    <w:rsid w:val="007F2E60"/>
    <w:rsid w:val="007F30E7"/>
    <w:rsid w:val="007F37B9"/>
    <w:rsid w:val="007F4A89"/>
    <w:rsid w:val="007F4CF1"/>
    <w:rsid w:val="007F6206"/>
    <w:rsid w:val="007F6405"/>
    <w:rsid w:val="007F68A7"/>
    <w:rsid w:val="007F767F"/>
    <w:rsid w:val="007F7C9A"/>
    <w:rsid w:val="00804105"/>
    <w:rsid w:val="00805AD6"/>
    <w:rsid w:val="00807FCE"/>
    <w:rsid w:val="008113E5"/>
    <w:rsid w:val="00812EAD"/>
    <w:rsid w:val="00814881"/>
    <w:rsid w:val="00816424"/>
    <w:rsid w:val="00816BA0"/>
    <w:rsid w:val="0081762C"/>
    <w:rsid w:val="0082136B"/>
    <w:rsid w:val="00821E6A"/>
    <w:rsid w:val="008221F0"/>
    <w:rsid w:val="00825452"/>
    <w:rsid w:val="00825AF7"/>
    <w:rsid w:val="00826E71"/>
    <w:rsid w:val="00830591"/>
    <w:rsid w:val="00831DA3"/>
    <w:rsid w:val="00833595"/>
    <w:rsid w:val="00834689"/>
    <w:rsid w:val="0083480A"/>
    <w:rsid w:val="0084120F"/>
    <w:rsid w:val="0084154B"/>
    <w:rsid w:val="00845749"/>
    <w:rsid w:val="00847E73"/>
    <w:rsid w:val="00851BFB"/>
    <w:rsid w:val="00851E71"/>
    <w:rsid w:val="008524F8"/>
    <w:rsid w:val="00854AD3"/>
    <w:rsid w:val="0085545E"/>
    <w:rsid w:val="0085770B"/>
    <w:rsid w:val="00860D92"/>
    <w:rsid w:val="008612F9"/>
    <w:rsid w:val="00861AE0"/>
    <w:rsid w:val="00862BC3"/>
    <w:rsid w:val="00865A3D"/>
    <w:rsid w:val="00865BE4"/>
    <w:rsid w:val="00866FAA"/>
    <w:rsid w:val="00870005"/>
    <w:rsid w:val="008718B9"/>
    <w:rsid w:val="00873642"/>
    <w:rsid w:val="00873AFE"/>
    <w:rsid w:val="00874CDD"/>
    <w:rsid w:val="0087574D"/>
    <w:rsid w:val="008770D2"/>
    <w:rsid w:val="00880055"/>
    <w:rsid w:val="008809F0"/>
    <w:rsid w:val="00880F61"/>
    <w:rsid w:val="00881BC6"/>
    <w:rsid w:val="0088242D"/>
    <w:rsid w:val="00882E22"/>
    <w:rsid w:val="00885B21"/>
    <w:rsid w:val="00887FDC"/>
    <w:rsid w:val="00890399"/>
    <w:rsid w:val="00891C71"/>
    <w:rsid w:val="00892B01"/>
    <w:rsid w:val="00892FA4"/>
    <w:rsid w:val="00893473"/>
    <w:rsid w:val="00893EA3"/>
    <w:rsid w:val="008A0A2C"/>
    <w:rsid w:val="008A0D0B"/>
    <w:rsid w:val="008A2A20"/>
    <w:rsid w:val="008A31CA"/>
    <w:rsid w:val="008A3DA4"/>
    <w:rsid w:val="008A600C"/>
    <w:rsid w:val="008A6987"/>
    <w:rsid w:val="008A6EFC"/>
    <w:rsid w:val="008B0A6F"/>
    <w:rsid w:val="008B0C3A"/>
    <w:rsid w:val="008B0D03"/>
    <w:rsid w:val="008B27B8"/>
    <w:rsid w:val="008B3066"/>
    <w:rsid w:val="008B4103"/>
    <w:rsid w:val="008B4634"/>
    <w:rsid w:val="008B545F"/>
    <w:rsid w:val="008B5AC3"/>
    <w:rsid w:val="008B647E"/>
    <w:rsid w:val="008C334F"/>
    <w:rsid w:val="008C5616"/>
    <w:rsid w:val="008D0019"/>
    <w:rsid w:val="008D0ECE"/>
    <w:rsid w:val="008D1D60"/>
    <w:rsid w:val="008D31CE"/>
    <w:rsid w:val="008D3418"/>
    <w:rsid w:val="008D4A17"/>
    <w:rsid w:val="008D69E9"/>
    <w:rsid w:val="008E1545"/>
    <w:rsid w:val="008E191E"/>
    <w:rsid w:val="008E1958"/>
    <w:rsid w:val="008E1A81"/>
    <w:rsid w:val="008E1FF1"/>
    <w:rsid w:val="008E2B45"/>
    <w:rsid w:val="008E498B"/>
    <w:rsid w:val="008F40D8"/>
    <w:rsid w:val="008F4E25"/>
    <w:rsid w:val="008F5574"/>
    <w:rsid w:val="008F6D6F"/>
    <w:rsid w:val="008F7119"/>
    <w:rsid w:val="008F78F7"/>
    <w:rsid w:val="009028E2"/>
    <w:rsid w:val="00903431"/>
    <w:rsid w:val="00903CCF"/>
    <w:rsid w:val="00905105"/>
    <w:rsid w:val="00905E64"/>
    <w:rsid w:val="00906500"/>
    <w:rsid w:val="009071A4"/>
    <w:rsid w:val="00910A2F"/>
    <w:rsid w:val="0091210F"/>
    <w:rsid w:val="009141CB"/>
    <w:rsid w:val="00914AEE"/>
    <w:rsid w:val="009158EF"/>
    <w:rsid w:val="00915960"/>
    <w:rsid w:val="009179AC"/>
    <w:rsid w:val="00920B19"/>
    <w:rsid w:val="0092319F"/>
    <w:rsid w:val="0092362E"/>
    <w:rsid w:val="0093021D"/>
    <w:rsid w:val="00930DB2"/>
    <w:rsid w:val="00931C10"/>
    <w:rsid w:val="009322FA"/>
    <w:rsid w:val="009327A9"/>
    <w:rsid w:val="00932CCF"/>
    <w:rsid w:val="00933CC8"/>
    <w:rsid w:val="00935132"/>
    <w:rsid w:val="0093670F"/>
    <w:rsid w:val="00936897"/>
    <w:rsid w:val="00937469"/>
    <w:rsid w:val="00940374"/>
    <w:rsid w:val="00940564"/>
    <w:rsid w:val="009405C4"/>
    <w:rsid w:val="00940855"/>
    <w:rsid w:val="00945A8E"/>
    <w:rsid w:val="00946DF9"/>
    <w:rsid w:val="009506C8"/>
    <w:rsid w:val="009508D5"/>
    <w:rsid w:val="00950ECA"/>
    <w:rsid w:val="009519B4"/>
    <w:rsid w:val="009532E0"/>
    <w:rsid w:val="00953345"/>
    <w:rsid w:val="009545AD"/>
    <w:rsid w:val="00956C09"/>
    <w:rsid w:val="00961C32"/>
    <w:rsid w:val="00961DFA"/>
    <w:rsid w:val="009628BB"/>
    <w:rsid w:val="0096293A"/>
    <w:rsid w:val="00963E29"/>
    <w:rsid w:val="00963E8A"/>
    <w:rsid w:val="009659DB"/>
    <w:rsid w:val="009666C7"/>
    <w:rsid w:val="009677A4"/>
    <w:rsid w:val="00967D0D"/>
    <w:rsid w:val="00967E09"/>
    <w:rsid w:val="00970B10"/>
    <w:rsid w:val="009716E5"/>
    <w:rsid w:val="00972C10"/>
    <w:rsid w:val="009740F7"/>
    <w:rsid w:val="009804EA"/>
    <w:rsid w:val="009806E4"/>
    <w:rsid w:val="00981D03"/>
    <w:rsid w:val="00983862"/>
    <w:rsid w:val="00985358"/>
    <w:rsid w:val="00985892"/>
    <w:rsid w:val="009902E6"/>
    <w:rsid w:val="00990A10"/>
    <w:rsid w:val="009918E4"/>
    <w:rsid w:val="00993F40"/>
    <w:rsid w:val="00997063"/>
    <w:rsid w:val="009A2689"/>
    <w:rsid w:val="009A38C7"/>
    <w:rsid w:val="009B0040"/>
    <w:rsid w:val="009B005D"/>
    <w:rsid w:val="009B0111"/>
    <w:rsid w:val="009B16C4"/>
    <w:rsid w:val="009B3310"/>
    <w:rsid w:val="009B3A87"/>
    <w:rsid w:val="009B4ECF"/>
    <w:rsid w:val="009B7299"/>
    <w:rsid w:val="009B7345"/>
    <w:rsid w:val="009B74F5"/>
    <w:rsid w:val="009C07DD"/>
    <w:rsid w:val="009C1C7F"/>
    <w:rsid w:val="009C2E90"/>
    <w:rsid w:val="009C561C"/>
    <w:rsid w:val="009C5ABB"/>
    <w:rsid w:val="009C5EBD"/>
    <w:rsid w:val="009C75AE"/>
    <w:rsid w:val="009C7FCC"/>
    <w:rsid w:val="009D2F49"/>
    <w:rsid w:val="009D3477"/>
    <w:rsid w:val="009D6101"/>
    <w:rsid w:val="009D7A8E"/>
    <w:rsid w:val="009E1ADD"/>
    <w:rsid w:val="009E1B58"/>
    <w:rsid w:val="009E2D9F"/>
    <w:rsid w:val="009E3881"/>
    <w:rsid w:val="009E388A"/>
    <w:rsid w:val="009E7EC9"/>
    <w:rsid w:val="009F0A3E"/>
    <w:rsid w:val="009F1935"/>
    <w:rsid w:val="009F2B93"/>
    <w:rsid w:val="009F3032"/>
    <w:rsid w:val="00A004D1"/>
    <w:rsid w:val="00A01F1E"/>
    <w:rsid w:val="00A02097"/>
    <w:rsid w:val="00A035A4"/>
    <w:rsid w:val="00A03CD3"/>
    <w:rsid w:val="00A0513C"/>
    <w:rsid w:val="00A07FF6"/>
    <w:rsid w:val="00A11366"/>
    <w:rsid w:val="00A114E7"/>
    <w:rsid w:val="00A12EC8"/>
    <w:rsid w:val="00A14D34"/>
    <w:rsid w:val="00A15F9A"/>
    <w:rsid w:val="00A176C6"/>
    <w:rsid w:val="00A203FC"/>
    <w:rsid w:val="00A233C8"/>
    <w:rsid w:val="00A2425B"/>
    <w:rsid w:val="00A30558"/>
    <w:rsid w:val="00A3107C"/>
    <w:rsid w:val="00A33488"/>
    <w:rsid w:val="00A3502D"/>
    <w:rsid w:val="00A36F8E"/>
    <w:rsid w:val="00A377E9"/>
    <w:rsid w:val="00A401CF"/>
    <w:rsid w:val="00A4085B"/>
    <w:rsid w:val="00A4196E"/>
    <w:rsid w:val="00A43146"/>
    <w:rsid w:val="00A4494A"/>
    <w:rsid w:val="00A44B0E"/>
    <w:rsid w:val="00A45285"/>
    <w:rsid w:val="00A4703A"/>
    <w:rsid w:val="00A50E97"/>
    <w:rsid w:val="00A51743"/>
    <w:rsid w:val="00A525AE"/>
    <w:rsid w:val="00A54DA4"/>
    <w:rsid w:val="00A54E95"/>
    <w:rsid w:val="00A66D77"/>
    <w:rsid w:val="00A678A7"/>
    <w:rsid w:val="00A71117"/>
    <w:rsid w:val="00A71E2D"/>
    <w:rsid w:val="00A71E3A"/>
    <w:rsid w:val="00A7349F"/>
    <w:rsid w:val="00A77FBE"/>
    <w:rsid w:val="00A80BAC"/>
    <w:rsid w:val="00A8134E"/>
    <w:rsid w:val="00A83105"/>
    <w:rsid w:val="00A831AC"/>
    <w:rsid w:val="00A83886"/>
    <w:rsid w:val="00A853E5"/>
    <w:rsid w:val="00A8568E"/>
    <w:rsid w:val="00A856C1"/>
    <w:rsid w:val="00A85A8D"/>
    <w:rsid w:val="00A864E8"/>
    <w:rsid w:val="00A90E51"/>
    <w:rsid w:val="00A91AAC"/>
    <w:rsid w:val="00A942C9"/>
    <w:rsid w:val="00A942F2"/>
    <w:rsid w:val="00A961A0"/>
    <w:rsid w:val="00A9622D"/>
    <w:rsid w:val="00AA11CA"/>
    <w:rsid w:val="00AA38B1"/>
    <w:rsid w:val="00AA38EF"/>
    <w:rsid w:val="00AA4224"/>
    <w:rsid w:val="00AA449E"/>
    <w:rsid w:val="00AA7074"/>
    <w:rsid w:val="00AB1B0D"/>
    <w:rsid w:val="00AB2572"/>
    <w:rsid w:val="00AB48D5"/>
    <w:rsid w:val="00AB6B40"/>
    <w:rsid w:val="00AC230E"/>
    <w:rsid w:val="00AC29E5"/>
    <w:rsid w:val="00AC2F76"/>
    <w:rsid w:val="00AC30D0"/>
    <w:rsid w:val="00AC40FB"/>
    <w:rsid w:val="00AC56D4"/>
    <w:rsid w:val="00AC5B47"/>
    <w:rsid w:val="00AC609E"/>
    <w:rsid w:val="00AC681C"/>
    <w:rsid w:val="00AC76CB"/>
    <w:rsid w:val="00AD0AB3"/>
    <w:rsid w:val="00AD26A1"/>
    <w:rsid w:val="00AD6246"/>
    <w:rsid w:val="00AD7338"/>
    <w:rsid w:val="00AD778B"/>
    <w:rsid w:val="00AE1FFC"/>
    <w:rsid w:val="00AE2261"/>
    <w:rsid w:val="00AE2425"/>
    <w:rsid w:val="00AE2566"/>
    <w:rsid w:val="00AE5D3B"/>
    <w:rsid w:val="00AE631E"/>
    <w:rsid w:val="00AE699F"/>
    <w:rsid w:val="00AE7453"/>
    <w:rsid w:val="00AF13BA"/>
    <w:rsid w:val="00AF264A"/>
    <w:rsid w:val="00AF354A"/>
    <w:rsid w:val="00AF390A"/>
    <w:rsid w:val="00AF6F4B"/>
    <w:rsid w:val="00B00E14"/>
    <w:rsid w:val="00B01DEB"/>
    <w:rsid w:val="00B025E3"/>
    <w:rsid w:val="00B03411"/>
    <w:rsid w:val="00B04738"/>
    <w:rsid w:val="00B05FE1"/>
    <w:rsid w:val="00B10973"/>
    <w:rsid w:val="00B10DEB"/>
    <w:rsid w:val="00B16072"/>
    <w:rsid w:val="00B16238"/>
    <w:rsid w:val="00B17530"/>
    <w:rsid w:val="00B17707"/>
    <w:rsid w:val="00B203F9"/>
    <w:rsid w:val="00B211BC"/>
    <w:rsid w:val="00B213FE"/>
    <w:rsid w:val="00B2195E"/>
    <w:rsid w:val="00B22776"/>
    <w:rsid w:val="00B25598"/>
    <w:rsid w:val="00B25694"/>
    <w:rsid w:val="00B259A0"/>
    <w:rsid w:val="00B2703D"/>
    <w:rsid w:val="00B27A67"/>
    <w:rsid w:val="00B30341"/>
    <w:rsid w:val="00B31BC2"/>
    <w:rsid w:val="00B322F5"/>
    <w:rsid w:val="00B3731A"/>
    <w:rsid w:val="00B37878"/>
    <w:rsid w:val="00B40C85"/>
    <w:rsid w:val="00B4201B"/>
    <w:rsid w:val="00B42448"/>
    <w:rsid w:val="00B433CE"/>
    <w:rsid w:val="00B455F0"/>
    <w:rsid w:val="00B46231"/>
    <w:rsid w:val="00B50805"/>
    <w:rsid w:val="00B51A39"/>
    <w:rsid w:val="00B61ACA"/>
    <w:rsid w:val="00B6464E"/>
    <w:rsid w:val="00B64EF6"/>
    <w:rsid w:val="00B66BCC"/>
    <w:rsid w:val="00B73FDB"/>
    <w:rsid w:val="00B742BA"/>
    <w:rsid w:val="00B74BE5"/>
    <w:rsid w:val="00B7514E"/>
    <w:rsid w:val="00B751CB"/>
    <w:rsid w:val="00B76178"/>
    <w:rsid w:val="00B773E3"/>
    <w:rsid w:val="00B82722"/>
    <w:rsid w:val="00B84764"/>
    <w:rsid w:val="00B9155E"/>
    <w:rsid w:val="00B94C31"/>
    <w:rsid w:val="00B950AF"/>
    <w:rsid w:val="00B95633"/>
    <w:rsid w:val="00B95AA7"/>
    <w:rsid w:val="00B97D58"/>
    <w:rsid w:val="00BA4F95"/>
    <w:rsid w:val="00BA7D7B"/>
    <w:rsid w:val="00BB5982"/>
    <w:rsid w:val="00BB5ACF"/>
    <w:rsid w:val="00BB734D"/>
    <w:rsid w:val="00BC047D"/>
    <w:rsid w:val="00BC1384"/>
    <w:rsid w:val="00BC144C"/>
    <w:rsid w:val="00BC266C"/>
    <w:rsid w:val="00BC281F"/>
    <w:rsid w:val="00BC3A47"/>
    <w:rsid w:val="00BC4E28"/>
    <w:rsid w:val="00BC6DFE"/>
    <w:rsid w:val="00BD030F"/>
    <w:rsid w:val="00BD10EB"/>
    <w:rsid w:val="00BD11E4"/>
    <w:rsid w:val="00BD3E04"/>
    <w:rsid w:val="00BD3E20"/>
    <w:rsid w:val="00BD44F1"/>
    <w:rsid w:val="00BD4E9A"/>
    <w:rsid w:val="00BD54DB"/>
    <w:rsid w:val="00BD57C7"/>
    <w:rsid w:val="00BE0055"/>
    <w:rsid w:val="00BE0DE9"/>
    <w:rsid w:val="00BE22CC"/>
    <w:rsid w:val="00BE43EB"/>
    <w:rsid w:val="00BE6784"/>
    <w:rsid w:val="00BF10D3"/>
    <w:rsid w:val="00BF1335"/>
    <w:rsid w:val="00BF282A"/>
    <w:rsid w:val="00BF4205"/>
    <w:rsid w:val="00BF6BB4"/>
    <w:rsid w:val="00C00A41"/>
    <w:rsid w:val="00C01D62"/>
    <w:rsid w:val="00C01FE1"/>
    <w:rsid w:val="00C042B2"/>
    <w:rsid w:val="00C060B0"/>
    <w:rsid w:val="00C1377E"/>
    <w:rsid w:val="00C138CB"/>
    <w:rsid w:val="00C13E55"/>
    <w:rsid w:val="00C140DC"/>
    <w:rsid w:val="00C14736"/>
    <w:rsid w:val="00C14E3C"/>
    <w:rsid w:val="00C23AB4"/>
    <w:rsid w:val="00C24C8D"/>
    <w:rsid w:val="00C26B81"/>
    <w:rsid w:val="00C27E0B"/>
    <w:rsid w:val="00C30A00"/>
    <w:rsid w:val="00C31C47"/>
    <w:rsid w:val="00C322F6"/>
    <w:rsid w:val="00C36B28"/>
    <w:rsid w:val="00C378C6"/>
    <w:rsid w:val="00C4050C"/>
    <w:rsid w:val="00C406F3"/>
    <w:rsid w:val="00C4455B"/>
    <w:rsid w:val="00C45292"/>
    <w:rsid w:val="00C47C5D"/>
    <w:rsid w:val="00C523F2"/>
    <w:rsid w:val="00C52C65"/>
    <w:rsid w:val="00C53CD2"/>
    <w:rsid w:val="00C55E9F"/>
    <w:rsid w:val="00C578B1"/>
    <w:rsid w:val="00C61237"/>
    <w:rsid w:val="00C6190E"/>
    <w:rsid w:val="00C62FE8"/>
    <w:rsid w:val="00C645E0"/>
    <w:rsid w:val="00C65304"/>
    <w:rsid w:val="00C70AFC"/>
    <w:rsid w:val="00C7163C"/>
    <w:rsid w:val="00C719E3"/>
    <w:rsid w:val="00C72A84"/>
    <w:rsid w:val="00C74737"/>
    <w:rsid w:val="00C76400"/>
    <w:rsid w:val="00C76E59"/>
    <w:rsid w:val="00C77B4D"/>
    <w:rsid w:val="00C80F98"/>
    <w:rsid w:val="00C86B83"/>
    <w:rsid w:val="00C9104F"/>
    <w:rsid w:val="00C94728"/>
    <w:rsid w:val="00C974E4"/>
    <w:rsid w:val="00C97812"/>
    <w:rsid w:val="00CA0E5A"/>
    <w:rsid w:val="00CA11D6"/>
    <w:rsid w:val="00CA13D0"/>
    <w:rsid w:val="00CA2047"/>
    <w:rsid w:val="00CA2A34"/>
    <w:rsid w:val="00CA38BF"/>
    <w:rsid w:val="00CA630E"/>
    <w:rsid w:val="00CA72D5"/>
    <w:rsid w:val="00CA7818"/>
    <w:rsid w:val="00CA7AE6"/>
    <w:rsid w:val="00CB19AA"/>
    <w:rsid w:val="00CB1EE9"/>
    <w:rsid w:val="00CB2676"/>
    <w:rsid w:val="00CB61F5"/>
    <w:rsid w:val="00CC0149"/>
    <w:rsid w:val="00CC1D31"/>
    <w:rsid w:val="00CC2403"/>
    <w:rsid w:val="00CD77C2"/>
    <w:rsid w:val="00CE0967"/>
    <w:rsid w:val="00CE3D9C"/>
    <w:rsid w:val="00CE5348"/>
    <w:rsid w:val="00CE5F9B"/>
    <w:rsid w:val="00CE659A"/>
    <w:rsid w:val="00CE778F"/>
    <w:rsid w:val="00CF0247"/>
    <w:rsid w:val="00CF1480"/>
    <w:rsid w:val="00CF40DC"/>
    <w:rsid w:val="00CF479F"/>
    <w:rsid w:val="00CF4A2E"/>
    <w:rsid w:val="00CF52C4"/>
    <w:rsid w:val="00CF5CCF"/>
    <w:rsid w:val="00CF5DB2"/>
    <w:rsid w:val="00CF66A7"/>
    <w:rsid w:val="00D01041"/>
    <w:rsid w:val="00D0255D"/>
    <w:rsid w:val="00D025A5"/>
    <w:rsid w:val="00D04124"/>
    <w:rsid w:val="00D04439"/>
    <w:rsid w:val="00D05406"/>
    <w:rsid w:val="00D069AB"/>
    <w:rsid w:val="00D10666"/>
    <w:rsid w:val="00D133F2"/>
    <w:rsid w:val="00D13A74"/>
    <w:rsid w:val="00D13C85"/>
    <w:rsid w:val="00D1589F"/>
    <w:rsid w:val="00D16EBE"/>
    <w:rsid w:val="00D16EDE"/>
    <w:rsid w:val="00D1766E"/>
    <w:rsid w:val="00D20164"/>
    <w:rsid w:val="00D20A59"/>
    <w:rsid w:val="00D226DE"/>
    <w:rsid w:val="00D24001"/>
    <w:rsid w:val="00D2689F"/>
    <w:rsid w:val="00D301A4"/>
    <w:rsid w:val="00D340D6"/>
    <w:rsid w:val="00D342AD"/>
    <w:rsid w:val="00D34B5E"/>
    <w:rsid w:val="00D353B4"/>
    <w:rsid w:val="00D359BE"/>
    <w:rsid w:val="00D36341"/>
    <w:rsid w:val="00D3687D"/>
    <w:rsid w:val="00D36F28"/>
    <w:rsid w:val="00D37482"/>
    <w:rsid w:val="00D41E27"/>
    <w:rsid w:val="00D43983"/>
    <w:rsid w:val="00D449FF"/>
    <w:rsid w:val="00D471E7"/>
    <w:rsid w:val="00D4762C"/>
    <w:rsid w:val="00D47E84"/>
    <w:rsid w:val="00D5061B"/>
    <w:rsid w:val="00D506FD"/>
    <w:rsid w:val="00D526EF"/>
    <w:rsid w:val="00D52ADC"/>
    <w:rsid w:val="00D530BB"/>
    <w:rsid w:val="00D557B1"/>
    <w:rsid w:val="00D55901"/>
    <w:rsid w:val="00D6291B"/>
    <w:rsid w:val="00D64765"/>
    <w:rsid w:val="00D66B75"/>
    <w:rsid w:val="00D66ED3"/>
    <w:rsid w:val="00D67566"/>
    <w:rsid w:val="00D67599"/>
    <w:rsid w:val="00D717DC"/>
    <w:rsid w:val="00D71F3D"/>
    <w:rsid w:val="00D737C3"/>
    <w:rsid w:val="00D75823"/>
    <w:rsid w:val="00D7625D"/>
    <w:rsid w:val="00D81B61"/>
    <w:rsid w:val="00D82322"/>
    <w:rsid w:val="00D848AC"/>
    <w:rsid w:val="00D913CD"/>
    <w:rsid w:val="00D91DF1"/>
    <w:rsid w:val="00D939D6"/>
    <w:rsid w:val="00D942F6"/>
    <w:rsid w:val="00D95778"/>
    <w:rsid w:val="00D95852"/>
    <w:rsid w:val="00DA0F85"/>
    <w:rsid w:val="00DA195A"/>
    <w:rsid w:val="00DA22DD"/>
    <w:rsid w:val="00DA2A6F"/>
    <w:rsid w:val="00DA331E"/>
    <w:rsid w:val="00DA454B"/>
    <w:rsid w:val="00DA45DC"/>
    <w:rsid w:val="00DA4C68"/>
    <w:rsid w:val="00DA6893"/>
    <w:rsid w:val="00DA724C"/>
    <w:rsid w:val="00DB1C72"/>
    <w:rsid w:val="00DB54A3"/>
    <w:rsid w:val="00DB664E"/>
    <w:rsid w:val="00DB70A7"/>
    <w:rsid w:val="00DB7214"/>
    <w:rsid w:val="00DC50BB"/>
    <w:rsid w:val="00DC5606"/>
    <w:rsid w:val="00DC56F3"/>
    <w:rsid w:val="00DD0D6B"/>
    <w:rsid w:val="00DD0F81"/>
    <w:rsid w:val="00DD1968"/>
    <w:rsid w:val="00DD1FA3"/>
    <w:rsid w:val="00DD3DC9"/>
    <w:rsid w:val="00DD5D89"/>
    <w:rsid w:val="00DE3145"/>
    <w:rsid w:val="00DE3220"/>
    <w:rsid w:val="00DE33EA"/>
    <w:rsid w:val="00DE52F6"/>
    <w:rsid w:val="00DF0C5E"/>
    <w:rsid w:val="00DF1B1A"/>
    <w:rsid w:val="00DF4101"/>
    <w:rsid w:val="00DF573A"/>
    <w:rsid w:val="00DF7C08"/>
    <w:rsid w:val="00E026C9"/>
    <w:rsid w:val="00E02CF0"/>
    <w:rsid w:val="00E05A8F"/>
    <w:rsid w:val="00E060F4"/>
    <w:rsid w:val="00E06252"/>
    <w:rsid w:val="00E0629F"/>
    <w:rsid w:val="00E11839"/>
    <w:rsid w:val="00E11883"/>
    <w:rsid w:val="00E12844"/>
    <w:rsid w:val="00E12B48"/>
    <w:rsid w:val="00E12E3F"/>
    <w:rsid w:val="00E1358B"/>
    <w:rsid w:val="00E157FB"/>
    <w:rsid w:val="00E17A33"/>
    <w:rsid w:val="00E2092E"/>
    <w:rsid w:val="00E20CCB"/>
    <w:rsid w:val="00E234EB"/>
    <w:rsid w:val="00E23B73"/>
    <w:rsid w:val="00E3104B"/>
    <w:rsid w:val="00E33D3A"/>
    <w:rsid w:val="00E33F6B"/>
    <w:rsid w:val="00E3650A"/>
    <w:rsid w:val="00E37C7C"/>
    <w:rsid w:val="00E404BB"/>
    <w:rsid w:val="00E42CCA"/>
    <w:rsid w:val="00E43603"/>
    <w:rsid w:val="00E45739"/>
    <w:rsid w:val="00E46ACE"/>
    <w:rsid w:val="00E474D7"/>
    <w:rsid w:val="00E47DFA"/>
    <w:rsid w:val="00E501E6"/>
    <w:rsid w:val="00E52B07"/>
    <w:rsid w:val="00E53A75"/>
    <w:rsid w:val="00E55FEB"/>
    <w:rsid w:val="00E612FA"/>
    <w:rsid w:val="00E6307F"/>
    <w:rsid w:val="00E64ED0"/>
    <w:rsid w:val="00E659D3"/>
    <w:rsid w:val="00E664B8"/>
    <w:rsid w:val="00E70756"/>
    <w:rsid w:val="00E8093D"/>
    <w:rsid w:val="00E80C4F"/>
    <w:rsid w:val="00E80E90"/>
    <w:rsid w:val="00E81D59"/>
    <w:rsid w:val="00E827E3"/>
    <w:rsid w:val="00E82934"/>
    <w:rsid w:val="00E8442B"/>
    <w:rsid w:val="00E85AE1"/>
    <w:rsid w:val="00E86A4D"/>
    <w:rsid w:val="00E87C87"/>
    <w:rsid w:val="00E9041B"/>
    <w:rsid w:val="00E91D8C"/>
    <w:rsid w:val="00E93B58"/>
    <w:rsid w:val="00E956BA"/>
    <w:rsid w:val="00E95979"/>
    <w:rsid w:val="00E95B22"/>
    <w:rsid w:val="00E9700E"/>
    <w:rsid w:val="00EA0541"/>
    <w:rsid w:val="00EA17EC"/>
    <w:rsid w:val="00EA1876"/>
    <w:rsid w:val="00EA23C2"/>
    <w:rsid w:val="00EA5D90"/>
    <w:rsid w:val="00EB0135"/>
    <w:rsid w:val="00EB2B88"/>
    <w:rsid w:val="00EB666B"/>
    <w:rsid w:val="00EB6FAD"/>
    <w:rsid w:val="00EB77CD"/>
    <w:rsid w:val="00EC02ED"/>
    <w:rsid w:val="00EC0B5B"/>
    <w:rsid w:val="00EC213C"/>
    <w:rsid w:val="00EC50EE"/>
    <w:rsid w:val="00EC7103"/>
    <w:rsid w:val="00ED0701"/>
    <w:rsid w:val="00ED1F8A"/>
    <w:rsid w:val="00ED33F9"/>
    <w:rsid w:val="00ED38E2"/>
    <w:rsid w:val="00ED755E"/>
    <w:rsid w:val="00EE425B"/>
    <w:rsid w:val="00EE5FA0"/>
    <w:rsid w:val="00EE5FE8"/>
    <w:rsid w:val="00EF093C"/>
    <w:rsid w:val="00EF408A"/>
    <w:rsid w:val="00EF7379"/>
    <w:rsid w:val="00EF785F"/>
    <w:rsid w:val="00F04E89"/>
    <w:rsid w:val="00F05619"/>
    <w:rsid w:val="00F10529"/>
    <w:rsid w:val="00F1188F"/>
    <w:rsid w:val="00F11A6E"/>
    <w:rsid w:val="00F123A3"/>
    <w:rsid w:val="00F1275D"/>
    <w:rsid w:val="00F14F91"/>
    <w:rsid w:val="00F21704"/>
    <w:rsid w:val="00F22856"/>
    <w:rsid w:val="00F23F68"/>
    <w:rsid w:val="00F24A6E"/>
    <w:rsid w:val="00F26F2C"/>
    <w:rsid w:val="00F317EA"/>
    <w:rsid w:val="00F32590"/>
    <w:rsid w:val="00F3755B"/>
    <w:rsid w:val="00F37677"/>
    <w:rsid w:val="00F402B1"/>
    <w:rsid w:val="00F42458"/>
    <w:rsid w:val="00F42A09"/>
    <w:rsid w:val="00F45C54"/>
    <w:rsid w:val="00F5044E"/>
    <w:rsid w:val="00F50A00"/>
    <w:rsid w:val="00F523E8"/>
    <w:rsid w:val="00F52A8F"/>
    <w:rsid w:val="00F52D76"/>
    <w:rsid w:val="00F605C4"/>
    <w:rsid w:val="00F60DDA"/>
    <w:rsid w:val="00F61120"/>
    <w:rsid w:val="00F65D74"/>
    <w:rsid w:val="00F66210"/>
    <w:rsid w:val="00F66DCE"/>
    <w:rsid w:val="00F7033D"/>
    <w:rsid w:val="00F7157B"/>
    <w:rsid w:val="00F718B2"/>
    <w:rsid w:val="00F756DF"/>
    <w:rsid w:val="00F75F7F"/>
    <w:rsid w:val="00F772E2"/>
    <w:rsid w:val="00F80072"/>
    <w:rsid w:val="00F82E1D"/>
    <w:rsid w:val="00F8342C"/>
    <w:rsid w:val="00F83F94"/>
    <w:rsid w:val="00F87AFE"/>
    <w:rsid w:val="00F87E01"/>
    <w:rsid w:val="00F91D4C"/>
    <w:rsid w:val="00F92182"/>
    <w:rsid w:val="00F94C24"/>
    <w:rsid w:val="00F964C3"/>
    <w:rsid w:val="00F97868"/>
    <w:rsid w:val="00FA39B0"/>
    <w:rsid w:val="00FA4361"/>
    <w:rsid w:val="00FA4BF1"/>
    <w:rsid w:val="00FA4E4F"/>
    <w:rsid w:val="00FA5CA7"/>
    <w:rsid w:val="00FB0B90"/>
    <w:rsid w:val="00FB14FE"/>
    <w:rsid w:val="00FB174C"/>
    <w:rsid w:val="00FB1ABB"/>
    <w:rsid w:val="00FB3419"/>
    <w:rsid w:val="00FB4046"/>
    <w:rsid w:val="00FB5738"/>
    <w:rsid w:val="00FC02E1"/>
    <w:rsid w:val="00FC203E"/>
    <w:rsid w:val="00FC3333"/>
    <w:rsid w:val="00FC5305"/>
    <w:rsid w:val="00FC53E8"/>
    <w:rsid w:val="00FC62A8"/>
    <w:rsid w:val="00FC647D"/>
    <w:rsid w:val="00FC6624"/>
    <w:rsid w:val="00FD2FFE"/>
    <w:rsid w:val="00FD547C"/>
    <w:rsid w:val="00FD6E19"/>
    <w:rsid w:val="00FD7D2A"/>
    <w:rsid w:val="00FE05BD"/>
    <w:rsid w:val="00FE0788"/>
    <w:rsid w:val="00FE0835"/>
    <w:rsid w:val="00FE16A3"/>
    <w:rsid w:val="00FE1A28"/>
    <w:rsid w:val="00FE3A44"/>
    <w:rsid w:val="00FE44FD"/>
    <w:rsid w:val="00FE72F8"/>
    <w:rsid w:val="00FE73D3"/>
    <w:rsid w:val="00FE76C3"/>
    <w:rsid w:val="00FF1BB5"/>
    <w:rsid w:val="00FF43F5"/>
    <w:rsid w:val="00FF476C"/>
    <w:rsid w:val="00FF5613"/>
    <w:rsid w:val="00FF60FA"/>
    <w:rsid w:val="00FF706B"/>
    <w:rsid w:val="00FF7F1D"/>
    <w:rsid w:val="016345EB"/>
    <w:rsid w:val="016C2D4F"/>
    <w:rsid w:val="01A93FA3"/>
    <w:rsid w:val="01D3326A"/>
    <w:rsid w:val="02174D5E"/>
    <w:rsid w:val="023A2E4D"/>
    <w:rsid w:val="02561FC8"/>
    <w:rsid w:val="02922349"/>
    <w:rsid w:val="029952A9"/>
    <w:rsid w:val="02A37931"/>
    <w:rsid w:val="02C17C60"/>
    <w:rsid w:val="02C60C8E"/>
    <w:rsid w:val="02D420EC"/>
    <w:rsid w:val="030834F4"/>
    <w:rsid w:val="031864C2"/>
    <w:rsid w:val="03672239"/>
    <w:rsid w:val="03D575A8"/>
    <w:rsid w:val="04405D75"/>
    <w:rsid w:val="047012BB"/>
    <w:rsid w:val="04D10D94"/>
    <w:rsid w:val="04EB25C7"/>
    <w:rsid w:val="050321D4"/>
    <w:rsid w:val="05156618"/>
    <w:rsid w:val="051F5FEE"/>
    <w:rsid w:val="0526590B"/>
    <w:rsid w:val="05A37DDE"/>
    <w:rsid w:val="06071E1F"/>
    <w:rsid w:val="061D64EE"/>
    <w:rsid w:val="06610EF1"/>
    <w:rsid w:val="067D4772"/>
    <w:rsid w:val="06A27213"/>
    <w:rsid w:val="074E6427"/>
    <w:rsid w:val="07697835"/>
    <w:rsid w:val="07720E06"/>
    <w:rsid w:val="07785FA0"/>
    <w:rsid w:val="07A00C12"/>
    <w:rsid w:val="07CC63FE"/>
    <w:rsid w:val="08096234"/>
    <w:rsid w:val="085530EF"/>
    <w:rsid w:val="0858227F"/>
    <w:rsid w:val="087135E6"/>
    <w:rsid w:val="08806C28"/>
    <w:rsid w:val="08E375DA"/>
    <w:rsid w:val="09872571"/>
    <w:rsid w:val="09B4200F"/>
    <w:rsid w:val="09F558AC"/>
    <w:rsid w:val="0A1107E6"/>
    <w:rsid w:val="0AB15C77"/>
    <w:rsid w:val="0AE5151C"/>
    <w:rsid w:val="0AE778EA"/>
    <w:rsid w:val="0AFF200D"/>
    <w:rsid w:val="0B2428ED"/>
    <w:rsid w:val="0B3F2815"/>
    <w:rsid w:val="0B59646A"/>
    <w:rsid w:val="0B9611D0"/>
    <w:rsid w:val="0BE8391A"/>
    <w:rsid w:val="0BF433D3"/>
    <w:rsid w:val="0BFB1521"/>
    <w:rsid w:val="0C195AAD"/>
    <w:rsid w:val="0C2C773C"/>
    <w:rsid w:val="0CEA36C4"/>
    <w:rsid w:val="0D422ACD"/>
    <w:rsid w:val="0D68184F"/>
    <w:rsid w:val="0DB37113"/>
    <w:rsid w:val="0DBE71E6"/>
    <w:rsid w:val="0DDB778D"/>
    <w:rsid w:val="0E0B1651"/>
    <w:rsid w:val="0E0E7442"/>
    <w:rsid w:val="0E3A5350"/>
    <w:rsid w:val="0E565AB2"/>
    <w:rsid w:val="0E601E8E"/>
    <w:rsid w:val="0ED32EFB"/>
    <w:rsid w:val="0F0F11BE"/>
    <w:rsid w:val="0F4C41C0"/>
    <w:rsid w:val="0F6812EE"/>
    <w:rsid w:val="0F8732BE"/>
    <w:rsid w:val="0F913A55"/>
    <w:rsid w:val="0F974690"/>
    <w:rsid w:val="0FA24C5C"/>
    <w:rsid w:val="0FBA56D6"/>
    <w:rsid w:val="0FEC45F3"/>
    <w:rsid w:val="10060D14"/>
    <w:rsid w:val="10184C49"/>
    <w:rsid w:val="102978DA"/>
    <w:rsid w:val="10621C65"/>
    <w:rsid w:val="109A081B"/>
    <w:rsid w:val="10A15893"/>
    <w:rsid w:val="10A51740"/>
    <w:rsid w:val="10BA4A4B"/>
    <w:rsid w:val="11382C4E"/>
    <w:rsid w:val="114C3612"/>
    <w:rsid w:val="11736708"/>
    <w:rsid w:val="11772BC1"/>
    <w:rsid w:val="119A0D13"/>
    <w:rsid w:val="11F67792"/>
    <w:rsid w:val="121708CF"/>
    <w:rsid w:val="12301B77"/>
    <w:rsid w:val="129F428D"/>
    <w:rsid w:val="12A72DFE"/>
    <w:rsid w:val="12A8122A"/>
    <w:rsid w:val="12ED0E0F"/>
    <w:rsid w:val="1323348A"/>
    <w:rsid w:val="1356795C"/>
    <w:rsid w:val="1371707A"/>
    <w:rsid w:val="13C9293C"/>
    <w:rsid w:val="13FC735F"/>
    <w:rsid w:val="1431710E"/>
    <w:rsid w:val="144C1327"/>
    <w:rsid w:val="144F017B"/>
    <w:rsid w:val="147405F4"/>
    <w:rsid w:val="14A53468"/>
    <w:rsid w:val="14CA0061"/>
    <w:rsid w:val="15007F26"/>
    <w:rsid w:val="154A4762"/>
    <w:rsid w:val="154D61A4"/>
    <w:rsid w:val="155F6B7B"/>
    <w:rsid w:val="15A63162"/>
    <w:rsid w:val="15A9411A"/>
    <w:rsid w:val="15E23FEB"/>
    <w:rsid w:val="15F13764"/>
    <w:rsid w:val="166166AE"/>
    <w:rsid w:val="16A80025"/>
    <w:rsid w:val="16AC4C03"/>
    <w:rsid w:val="16EB458A"/>
    <w:rsid w:val="16F070D2"/>
    <w:rsid w:val="16F75359"/>
    <w:rsid w:val="172979D8"/>
    <w:rsid w:val="174B1B69"/>
    <w:rsid w:val="177A1EE3"/>
    <w:rsid w:val="17F41919"/>
    <w:rsid w:val="18307DB5"/>
    <w:rsid w:val="184719C8"/>
    <w:rsid w:val="187918D4"/>
    <w:rsid w:val="187F1162"/>
    <w:rsid w:val="18825528"/>
    <w:rsid w:val="18C96881"/>
    <w:rsid w:val="18CB6574"/>
    <w:rsid w:val="190800BC"/>
    <w:rsid w:val="194235E6"/>
    <w:rsid w:val="196863E4"/>
    <w:rsid w:val="19CE609E"/>
    <w:rsid w:val="1A0F1779"/>
    <w:rsid w:val="1A141D7E"/>
    <w:rsid w:val="1A347F4E"/>
    <w:rsid w:val="1A363624"/>
    <w:rsid w:val="1A6B34F2"/>
    <w:rsid w:val="1A7975BC"/>
    <w:rsid w:val="1ACE6CA7"/>
    <w:rsid w:val="1B0D25AB"/>
    <w:rsid w:val="1B3170DF"/>
    <w:rsid w:val="1B5C578B"/>
    <w:rsid w:val="1B7E474E"/>
    <w:rsid w:val="1BAA299A"/>
    <w:rsid w:val="1C4B6A29"/>
    <w:rsid w:val="1C654B13"/>
    <w:rsid w:val="1C7D77EF"/>
    <w:rsid w:val="1CC950A2"/>
    <w:rsid w:val="1D056A73"/>
    <w:rsid w:val="1D233C03"/>
    <w:rsid w:val="1D67203D"/>
    <w:rsid w:val="1D9C70F7"/>
    <w:rsid w:val="1E2006A0"/>
    <w:rsid w:val="1E3C2D14"/>
    <w:rsid w:val="1E3F36B7"/>
    <w:rsid w:val="1E403142"/>
    <w:rsid w:val="1E6908EA"/>
    <w:rsid w:val="1E870D71"/>
    <w:rsid w:val="1E8B5390"/>
    <w:rsid w:val="1ECB78D4"/>
    <w:rsid w:val="1F0423C1"/>
    <w:rsid w:val="1F1E624D"/>
    <w:rsid w:val="1F37640F"/>
    <w:rsid w:val="1F457A27"/>
    <w:rsid w:val="1F511C17"/>
    <w:rsid w:val="1F542020"/>
    <w:rsid w:val="1F6665A0"/>
    <w:rsid w:val="1F6A4B1C"/>
    <w:rsid w:val="1FA2402F"/>
    <w:rsid w:val="1FDD3AE8"/>
    <w:rsid w:val="1FE60111"/>
    <w:rsid w:val="20232D1B"/>
    <w:rsid w:val="203334D1"/>
    <w:rsid w:val="204C2272"/>
    <w:rsid w:val="204E60B1"/>
    <w:rsid w:val="20547378"/>
    <w:rsid w:val="205B6F5D"/>
    <w:rsid w:val="20915ED7"/>
    <w:rsid w:val="209333F0"/>
    <w:rsid w:val="209D0D1F"/>
    <w:rsid w:val="20CB5445"/>
    <w:rsid w:val="20E64997"/>
    <w:rsid w:val="2133507B"/>
    <w:rsid w:val="214473ED"/>
    <w:rsid w:val="215753C0"/>
    <w:rsid w:val="219043E0"/>
    <w:rsid w:val="21BE323A"/>
    <w:rsid w:val="22525B39"/>
    <w:rsid w:val="22623FCE"/>
    <w:rsid w:val="22806653"/>
    <w:rsid w:val="22D77EEC"/>
    <w:rsid w:val="22E22A19"/>
    <w:rsid w:val="22FE333A"/>
    <w:rsid w:val="231F5AC4"/>
    <w:rsid w:val="2334741E"/>
    <w:rsid w:val="24207C9D"/>
    <w:rsid w:val="2463355B"/>
    <w:rsid w:val="24A73F1B"/>
    <w:rsid w:val="24B4183F"/>
    <w:rsid w:val="24F415FA"/>
    <w:rsid w:val="250A1C4C"/>
    <w:rsid w:val="251E0098"/>
    <w:rsid w:val="25702655"/>
    <w:rsid w:val="25902C01"/>
    <w:rsid w:val="25BB31A4"/>
    <w:rsid w:val="25D22A5C"/>
    <w:rsid w:val="25E80C1C"/>
    <w:rsid w:val="25F55C40"/>
    <w:rsid w:val="265F2504"/>
    <w:rsid w:val="267F447C"/>
    <w:rsid w:val="26B01395"/>
    <w:rsid w:val="26E14935"/>
    <w:rsid w:val="270A39E9"/>
    <w:rsid w:val="27304943"/>
    <w:rsid w:val="28215D92"/>
    <w:rsid w:val="282F4948"/>
    <w:rsid w:val="28752728"/>
    <w:rsid w:val="28F01E2E"/>
    <w:rsid w:val="296F18A7"/>
    <w:rsid w:val="298F21F5"/>
    <w:rsid w:val="29A1463E"/>
    <w:rsid w:val="29A547A1"/>
    <w:rsid w:val="29D46E34"/>
    <w:rsid w:val="29DD41C2"/>
    <w:rsid w:val="29F92BBD"/>
    <w:rsid w:val="2A043B28"/>
    <w:rsid w:val="2A5033AF"/>
    <w:rsid w:val="2A5C60A5"/>
    <w:rsid w:val="2A5E32CD"/>
    <w:rsid w:val="2A617C08"/>
    <w:rsid w:val="2AD27817"/>
    <w:rsid w:val="2AD96DF8"/>
    <w:rsid w:val="2B030EF2"/>
    <w:rsid w:val="2B215288"/>
    <w:rsid w:val="2B4C1378"/>
    <w:rsid w:val="2B77111E"/>
    <w:rsid w:val="2B9C53AD"/>
    <w:rsid w:val="2BAC4833"/>
    <w:rsid w:val="2BAD5B8F"/>
    <w:rsid w:val="2BC52ED8"/>
    <w:rsid w:val="2BD31074"/>
    <w:rsid w:val="2C005DD3"/>
    <w:rsid w:val="2C127C2D"/>
    <w:rsid w:val="2C4955AF"/>
    <w:rsid w:val="2C721002"/>
    <w:rsid w:val="2D0933FF"/>
    <w:rsid w:val="2D0B67D8"/>
    <w:rsid w:val="2D1E6D44"/>
    <w:rsid w:val="2D6863B6"/>
    <w:rsid w:val="2D92196E"/>
    <w:rsid w:val="2D936569"/>
    <w:rsid w:val="2DF16206"/>
    <w:rsid w:val="2EB326F4"/>
    <w:rsid w:val="2ED964C1"/>
    <w:rsid w:val="2F1D0383"/>
    <w:rsid w:val="2F7C2B93"/>
    <w:rsid w:val="2FD6335E"/>
    <w:rsid w:val="2FE34275"/>
    <w:rsid w:val="30360E95"/>
    <w:rsid w:val="303B1B9C"/>
    <w:rsid w:val="303C3311"/>
    <w:rsid w:val="304C09B3"/>
    <w:rsid w:val="307D2FCF"/>
    <w:rsid w:val="30BA3228"/>
    <w:rsid w:val="30C06C37"/>
    <w:rsid w:val="311A0160"/>
    <w:rsid w:val="313A3DA9"/>
    <w:rsid w:val="3145378C"/>
    <w:rsid w:val="317D1BD4"/>
    <w:rsid w:val="31BC4D7D"/>
    <w:rsid w:val="31DC572A"/>
    <w:rsid w:val="31EC2C18"/>
    <w:rsid w:val="324F5448"/>
    <w:rsid w:val="329A1673"/>
    <w:rsid w:val="32FE389F"/>
    <w:rsid w:val="33210349"/>
    <w:rsid w:val="33235DEF"/>
    <w:rsid w:val="333B5871"/>
    <w:rsid w:val="334034E1"/>
    <w:rsid w:val="339405C6"/>
    <w:rsid w:val="33952979"/>
    <w:rsid w:val="33A912A6"/>
    <w:rsid w:val="33AD546D"/>
    <w:rsid w:val="33B67BBC"/>
    <w:rsid w:val="33B91574"/>
    <w:rsid w:val="342D530E"/>
    <w:rsid w:val="344B0E87"/>
    <w:rsid w:val="345B0136"/>
    <w:rsid w:val="346F60D7"/>
    <w:rsid w:val="349D49F2"/>
    <w:rsid w:val="34B67174"/>
    <w:rsid w:val="35042256"/>
    <w:rsid w:val="35DB1A53"/>
    <w:rsid w:val="35E17369"/>
    <w:rsid w:val="35E47D46"/>
    <w:rsid w:val="362E2905"/>
    <w:rsid w:val="363348D5"/>
    <w:rsid w:val="363C5313"/>
    <w:rsid w:val="36853990"/>
    <w:rsid w:val="36AC22EA"/>
    <w:rsid w:val="36AC3612"/>
    <w:rsid w:val="36B9094D"/>
    <w:rsid w:val="3772660A"/>
    <w:rsid w:val="37B20E92"/>
    <w:rsid w:val="37CE1367"/>
    <w:rsid w:val="37EE4E6A"/>
    <w:rsid w:val="3813768A"/>
    <w:rsid w:val="384F2EB4"/>
    <w:rsid w:val="387E3698"/>
    <w:rsid w:val="388D7E55"/>
    <w:rsid w:val="38BC035F"/>
    <w:rsid w:val="38CF35E8"/>
    <w:rsid w:val="39831527"/>
    <w:rsid w:val="39FA6443"/>
    <w:rsid w:val="3A0A180B"/>
    <w:rsid w:val="3A206B2C"/>
    <w:rsid w:val="3A3B7187"/>
    <w:rsid w:val="3A722029"/>
    <w:rsid w:val="3A9E028E"/>
    <w:rsid w:val="3AB23981"/>
    <w:rsid w:val="3B021A53"/>
    <w:rsid w:val="3B205CDA"/>
    <w:rsid w:val="3B5620E2"/>
    <w:rsid w:val="3BB374E0"/>
    <w:rsid w:val="3BC66568"/>
    <w:rsid w:val="3BCA4543"/>
    <w:rsid w:val="3BF375EE"/>
    <w:rsid w:val="3C067321"/>
    <w:rsid w:val="3C5D3E02"/>
    <w:rsid w:val="3C5D7CBE"/>
    <w:rsid w:val="3C604977"/>
    <w:rsid w:val="3C6D114E"/>
    <w:rsid w:val="3C8B7C19"/>
    <w:rsid w:val="3D2860FD"/>
    <w:rsid w:val="3D2E09C8"/>
    <w:rsid w:val="3D3A3E1B"/>
    <w:rsid w:val="3D3E0D3C"/>
    <w:rsid w:val="3D7F55DD"/>
    <w:rsid w:val="3DAD4894"/>
    <w:rsid w:val="3DBB5E77"/>
    <w:rsid w:val="3E1D4744"/>
    <w:rsid w:val="3EB40750"/>
    <w:rsid w:val="3EC25BAC"/>
    <w:rsid w:val="3ECD113D"/>
    <w:rsid w:val="3EDD5B3E"/>
    <w:rsid w:val="3EE75DB1"/>
    <w:rsid w:val="3EF24796"/>
    <w:rsid w:val="3F204B9E"/>
    <w:rsid w:val="3F22554C"/>
    <w:rsid w:val="3F2F7FBB"/>
    <w:rsid w:val="3F7B5456"/>
    <w:rsid w:val="404B0E08"/>
    <w:rsid w:val="40572841"/>
    <w:rsid w:val="406F19D2"/>
    <w:rsid w:val="408C38AD"/>
    <w:rsid w:val="409749EB"/>
    <w:rsid w:val="40DA4E47"/>
    <w:rsid w:val="414E5DAC"/>
    <w:rsid w:val="41586871"/>
    <w:rsid w:val="419D542C"/>
    <w:rsid w:val="41C5246F"/>
    <w:rsid w:val="41CD5856"/>
    <w:rsid w:val="41DE664A"/>
    <w:rsid w:val="426F05E4"/>
    <w:rsid w:val="42864D18"/>
    <w:rsid w:val="428C5461"/>
    <w:rsid w:val="42D76032"/>
    <w:rsid w:val="42E45286"/>
    <w:rsid w:val="42F0224E"/>
    <w:rsid w:val="4310008B"/>
    <w:rsid w:val="4355293C"/>
    <w:rsid w:val="43A52B97"/>
    <w:rsid w:val="441630A2"/>
    <w:rsid w:val="44557097"/>
    <w:rsid w:val="45140A39"/>
    <w:rsid w:val="45252F0E"/>
    <w:rsid w:val="457A5245"/>
    <w:rsid w:val="45A571C9"/>
    <w:rsid w:val="45CF3980"/>
    <w:rsid w:val="45D60A2D"/>
    <w:rsid w:val="45ED3300"/>
    <w:rsid w:val="45F3102E"/>
    <w:rsid w:val="46514A0A"/>
    <w:rsid w:val="465A7671"/>
    <w:rsid w:val="4667317A"/>
    <w:rsid w:val="46CE49C1"/>
    <w:rsid w:val="46D75240"/>
    <w:rsid w:val="46DC2BC3"/>
    <w:rsid w:val="46F34946"/>
    <w:rsid w:val="47080F61"/>
    <w:rsid w:val="470B7EE1"/>
    <w:rsid w:val="473B2832"/>
    <w:rsid w:val="473E2065"/>
    <w:rsid w:val="477C5396"/>
    <w:rsid w:val="478309B4"/>
    <w:rsid w:val="478C73AF"/>
    <w:rsid w:val="47A72F0F"/>
    <w:rsid w:val="47B44A40"/>
    <w:rsid w:val="47BE31A6"/>
    <w:rsid w:val="47BE4F54"/>
    <w:rsid w:val="47C072D9"/>
    <w:rsid w:val="47C14A44"/>
    <w:rsid w:val="480A6B0C"/>
    <w:rsid w:val="48184DA2"/>
    <w:rsid w:val="487D18F1"/>
    <w:rsid w:val="48820826"/>
    <w:rsid w:val="48A63A83"/>
    <w:rsid w:val="491421F6"/>
    <w:rsid w:val="492F2942"/>
    <w:rsid w:val="49B605D8"/>
    <w:rsid w:val="49CD3629"/>
    <w:rsid w:val="49D10E80"/>
    <w:rsid w:val="4A1D30E5"/>
    <w:rsid w:val="4A393D33"/>
    <w:rsid w:val="4A9E2E1A"/>
    <w:rsid w:val="4AB33919"/>
    <w:rsid w:val="4AB47AAE"/>
    <w:rsid w:val="4AC130D1"/>
    <w:rsid w:val="4AE17D0E"/>
    <w:rsid w:val="4B1F3F5B"/>
    <w:rsid w:val="4B324F17"/>
    <w:rsid w:val="4B3C0652"/>
    <w:rsid w:val="4B50399F"/>
    <w:rsid w:val="4BAD0BC4"/>
    <w:rsid w:val="4C547C35"/>
    <w:rsid w:val="4C5A6FBF"/>
    <w:rsid w:val="4CBE720A"/>
    <w:rsid w:val="4D58682C"/>
    <w:rsid w:val="4D881E5D"/>
    <w:rsid w:val="4DDB6C44"/>
    <w:rsid w:val="4DDE00FE"/>
    <w:rsid w:val="4DE40227"/>
    <w:rsid w:val="4DE53AEF"/>
    <w:rsid w:val="4DF67C6A"/>
    <w:rsid w:val="4E0C644F"/>
    <w:rsid w:val="4E6D256E"/>
    <w:rsid w:val="4E9D3FAB"/>
    <w:rsid w:val="4EC66A03"/>
    <w:rsid w:val="4F002F81"/>
    <w:rsid w:val="4F0A6CD0"/>
    <w:rsid w:val="4F0F2539"/>
    <w:rsid w:val="4F3212B2"/>
    <w:rsid w:val="4FD1537A"/>
    <w:rsid w:val="4FDA6FB6"/>
    <w:rsid w:val="4FFC486B"/>
    <w:rsid w:val="50142CD9"/>
    <w:rsid w:val="503F76E6"/>
    <w:rsid w:val="50711CB2"/>
    <w:rsid w:val="508B37BA"/>
    <w:rsid w:val="50E62426"/>
    <w:rsid w:val="51281690"/>
    <w:rsid w:val="51377219"/>
    <w:rsid w:val="513B13C3"/>
    <w:rsid w:val="519A1675"/>
    <w:rsid w:val="51AE7CC9"/>
    <w:rsid w:val="5217598C"/>
    <w:rsid w:val="5218520C"/>
    <w:rsid w:val="524835D6"/>
    <w:rsid w:val="52641C79"/>
    <w:rsid w:val="526A4EBE"/>
    <w:rsid w:val="528F408F"/>
    <w:rsid w:val="529369CF"/>
    <w:rsid w:val="52B810D9"/>
    <w:rsid w:val="52D619BB"/>
    <w:rsid w:val="530D72AD"/>
    <w:rsid w:val="531E3C37"/>
    <w:rsid w:val="53263FC1"/>
    <w:rsid w:val="53293A1D"/>
    <w:rsid w:val="533026AA"/>
    <w:rsid w:val="53431263"/>
    <w:rsid w:val="53442939"/>
    <w:rsid w:val="537868FE"/>
    <w:rsid w:val="544A107E"/>
    <w:rsid w:val="54AB5886"/>
    <w:rsid w:val="54CB6E0A"/>
    <w:rsid w:val="54D57DFA"/>
    <w:rsid w:val="54D75EAD"/>
    <w:rsid w:val="54E91152"/>
    <w:rsid w:val="54F226E1"/>
    <w:rsid w:val="54F72B08"/>
    <w:rsid w:val="55306D65"/>
    <w:rsid w:val="55987274"/>
    <w:rsid w:val="560874CC"/>
    <w:rsid w:val="56307988"/>
    <w:rsid w:val="56480C7F"/>
    <w:rsid w:val="564861A3"/>
    <w:rsid w:val="567A473C"/>
    <w:rsid w:val="56B37C4E"/>
    <w:rsid w:val="5701599F"/>
    <w:rsid w:val="57281580"/>
    <w:rsid w:val="575C2465"/>
    <w:rsid w:val="577C5E60"/>
    <w:rsid w:val="57BF6F5C"/>
    <w:rsid w:val="57FD4BBA"/>
    <w:rsid w:val="58031953"/>
    <w:rsid w:val="582F7FE7"/>
    <w:rsid w:val="584274DB"/>
    <w:rsid w:val="586C6306"/>
    <w:rsid w:val="587C1136"/>
    <w:rsid w:val="5880434E"/>
    <w:rsid w:val="588A70BB"/>
    <w:rsid w:val="58F6426C"/>
    <w:rsid w:val="590A43ED"/>
    <w:rsid w:val="592F6797"/>
    <w:rsid w:val="59CE6325"/>
    <w:rsid w:val="59FE2AD8"/>
    <w:rsid w:val="5A026F85"/>
    <w:rsid w:val="5A28320F"/>
    <w:rsid w:val="5A2D1BB7"/>
    <w:rsid w:val="5AB242ED"/>
    <w:rsid w:val="5ACD7C2B"/>
    <w:rsid w:val="5AE80C17"/>
    <w:rsid w:val="5AF45D93"/>
    <w:rsid w:val="5B6836FC"/>
    <w:rsid w:val="5B6C3DB3"/>
    <w:rsid w:val="5B6C626F"/>
    <w:rsid w:val="5B7B5999"/>
    <w:rsid w:val="5B8172A8"/>
    <w:rsid w:val="5BB760A5"/>
    <w:rsid w:val="5BD72BF4"/>
    <w:rsid w:val="5BDF6377"/>
    <w:rsid w:val="5C423458"/>
    <w:rsid w:val="5C5E45F5"/>
    <w:rsid w:val="5C680A63"/>
    <w:rsid w:val="5CB307DB"/>
    <w:rsid w:val="5CE6025C"/>
    <w:rsid w:val="5CE60D7D"/>
    <w:rsid w:val="5D2E6280"/>
    <w:rsid w:val="5D323FC2"/>
    <w:rsid w:val="5D7719D5"/>
    <w:rsid w:val="5D79310C"/>
    <w:rsid w:val="5DA30A1C"/>
    <w:rsid w:val="5DB816A6"/>
    <w:rsid w:val="5DE12B24"/>
    <w:rsid w:val="5E10776C"/>
    <w:rsid w:val="5E190CDE"/>
    <w:rsid w:val="5E231B5D"/>
    <w:rsid w:val="5E573A0E"/>
    <w:rsid w:val="5EC00240"/>
    <w:rsid w:val="5F94193E"/>
    <w:rsid w:val="5FC66E0E"/>
    <w:rsid w:val="60254849"/>
    <w:rsid w:val="604E3BAF"/>
    <w:rsid w:val="60660070"/>
    <w:rsid w:val="60946E6E"/>
    <w:rsid w:val="60DD2497"/>
    <w:rsid w:val="60DF620F"/>
    <w:rsid w:val="60FD0A6E"/>
    <w:rsid w:val="61300B12"/>
    <w:rsid w:val="617D549B"/>
    <w:rsid w:val="617F7DBA"/>
    <w:rsid w:val="618755BD"/>
    <w:rsid w:val="61CB0541"/>
    <w:rsid w:val="61DA5E50"/>
    <w:rsid w:val="61DE1C8F"/>
    <w:rsid w:val="61F959DD"/>
    <w:rsid w:val="623C7749"/>
    <w:rsid w:val="629D7D33"/>
    <w:rsid w:val="62AD5305"/>
    <w:rsid w:val="630C72B1"/>
    <w:rsid w:val="63191721"/>
    <w:rsid w:val="636E387A"/>
    <w:rsid w:val="639B339A"/>
    <w:rsid w:val="639F1243"/>
    <w:rsid w:val="63F024E1"/>
    <w:rsid w:val="63FF74B1"/>
    <w:rsid w:val="641218C1"/>
    <w:rsid w:val="644E2EFA"/>
    <w:rsid w:val="645C7C37"/>
    <w:rsid w:val="646E20FA"/>
    <w:rsid w:val="64855C0F"/>
    <w:rsid w:val="648A0240"/>
    <w:rsid w:val="649E1F3D"/>
    <w:rsid w:val="64B85CC2"/>
    <w:rsid w:val="64BA76B1"/>
    <w:rsid w:val="64C61708"/>
    <w:rsid w:val="64ED6AEC"/>
    <w:rsid w:val="655A720E"/>
    <w:rsid w:val="660419F9"/>
    <w:rsid w:val="660D326E"/>
    <w:rsid w:val="662446C4"/>
    <w:rsid w:val="6634096F"/>
    <w:rsid w:val="666B5E4F"/>
    <w:rsid w:val="66770C98"/>
    <w:rsid w:val="6686426F"/>
    <w:rsid w:val="66BA6BF3"/>
    <w:rsid w:val="67010561"/>
    <w:rsid w:val="671309C0"/>
    <w:rsid w:val="673423A2"/>
    <w:rsid w:val="67D57A24"/>
    <w:rsid w:val="67E33CED"/>
    <w:rsid w:val="681828B9"/>
    <w:rsid w:val="681C3E6E"/>
    <w:rsid w:val="68834BBC"/>
    <w:rsid w:val="68AE76F6"/>
    <w:rsid w:val="68BA2947"/>
    <w:rsid w:val="69076FCD"/>
    <w:rsid w:val="6924597C"/>
    <w:rsid w:val="693D19A1"/>
    <w:rsid w:val="69461F71"/>
    <w:rsid w:val="696265EF"/>
    <w:rsid w:val="69852667"/>
    <w:rsid w:val="69B5134C"/>
    <w:rsid w:val="69CE68E5"/>
    <w:rsid w:val="6A10568B"/>
    <w:rsid w:val="6A890F99"/>
    <w:rsid w:val="6AB6231D"/>
    <w:rsid w:val="6AFB5D68"/>
    <w:rsid w:val="6B170F37"/>
    <w:rsid w:val="6B686E01"/>
    <w:rsid w:val="6BA001B4"/>
    <w:rsid w:val="6BD81449"/>
    <w:rsid w:val="6BE31B38"/>
    <w:rsid w:val="6BE902A4"/>
    <w:rsid w:val="6C05153C"/>
    <w:rsid w:val="6C7C7704"/>
    <w:rsid w:val="6C995E5E"/>
    <w:rsid w:val="6CC85378"/>
    <w:rsid w:val="6D475CB5"/>
    <w:rsid w:val="6D4F1ACC"/>
    <w:rsid w:val="6D576FDC"/>
    <w:rsid w:val="6D7165A7"/>
    <w:rsid w:val="6D960849"/>
    <w:rsid w:val="6E3D2189"/>
    <w:rsid w:val="6E461499"/>
    <w:rsid w:val="6E791F84"/>
    <w:rsid w:val="6E7A1325"/>
    <w:rsid w:val="6E965073"/>
    <w:rsid w:val="6EE57A86"/>
    <w:rsid w:val="6F3E7EF0"/>
    <w:rsid w:val="6F6156F9"/>
    <w:rsid w:val="6F7D1D5B"/>
    <w:rsid w:val="6FB5018B"/>
    <w:rsid w:val="6FC34F4E"/>
    <w:rsid w:val="6FF7148D"/>
    <w:rsid w:val="6FFD52D6"/>
    <w:rsid w:val="7007465D"/>
    <w:rsid w:val="702E0619"/>
    <w:rsid w:val="70336015"/>
    <w:rsid w:val="70406D88"/>
    <w:rsid w:val="70442236"/>
    <w:rsid w:val="7075570F"/>
    <w:rsid w:val="70967F6C"/>
    <w:rsid w:val="70F2039A"/>
    <w:rsid w:val="712612F0"/>
    <w:rsid w:val="717A1DD4"/>
    <w:rsid w:val="71A505A4"/>
    <w:rsid w:val="71D0487F"/>
    <w:rsid w:val="71FE723E"/>
    <w:rsid w:val="720528E3"/>
    <w:rsid w:val="72281098"/>
    <w:rsid w:val="727128B9"/>
    <w:rsid w:val="728B56C8"/>
    <w:rsid w:val="73044836"/>
    <w:rsid w:val="732775A1"/>
    <w:rsid w:val="735314CD"/>
    <w:rsid w:val="735813A4"/>
    <w:rsid w:val="73683E42"/>
    <w:rsid w:val="737166A7"/>
    <w:rsid w:val="73940C47"/>
    <w:rsid w:val="739C5297"/>
    <w:rsid w:val="73DE5C35"/>
    <w:rsid w:val="74166786"/>
    <w:rsid w:val="7423565D"/>
    <w:rsid w:val="7423781D"/>
    <w:rsid w:val="748700EB"/>
    <w:rsid w:val="74966C49"/>
    <w:rsid w:val="749B3F3B"/>
    <w:rsid w:val="74A6705C"/>
    <w:rsid w:val="74CE23CA"/>
    <w:rsid w:val="74E53270"/>
    <w:rsid w:val="74EB79E8"/>
    <w:rsid w:val="750A2372"/>
    <w:rsid w:val="754B7BB9"/>
    <w:rsid w:val="7567509A"/>
    <w:rsid w:val="75777B09"/>
    <w:rsid w:val="75A96088"/>
    <w:rsid w:val="75B3511C"/>
    <w:rsid w:val="75BB712E"/>
    <w:rsid w:val="75DA412D"/>
    <w:rsid w:val="761958C7"/>
    <w:rsid w:val="765C57B4"/>
    <w:rsid w:val="76604F4D"/>
    <w:rsid w:val="76792F32"/>
    <w:rsid w:val="768A6E35"/>
    <w:rsid w:val="76A953BD"/>
    <w:rsid w:val="771709C0"/>
    <w:rsid w:val="77C45C0E"/>
    <w:rsid w:val="78105060"/>
    <w:rsid w:val="781E05C8"/>
    <w:rsid w:val="790E548B"/>
    <w:rsid w:val="79127631"/>
    <w:rsid w:val="793D217C"/>
    <w:rsid w:val="79C478F8"/>
    <w:rsid w:val="79CF2B09"/>
    <w:rsid w:val="79F91C98"/>
    <w:rsid w:val="7A0C2392"/>
    <w:rsid w:val="7A2A7DCB"/>
    <w:rsid w:val="7A383CAC"/>
    <w:rsid w:val="7A506BEC"/>
    <w:rsid w:val="7A9279F6"/>
    <w:rsid w:val="7B694092"/>
    <w:rsid w:val="7B733A47"/>
    <w:rsid w:val="7BE36CA6"/>
    <w:rsid w:val="7BFE519C"/>
    <w:rsid w:val="7C633444"/>
    <w:rsid w:val="7CA71CCD"/>
    <w:rsid w:val="7CD73880"/>
    <w:rsid w:val="7D580A83"/>
    <w:rsid w:val="7D8624B6"/>
    <w:rsid w:val="7DA50364"/>
    <w:rsid w:val="7DA57A41"/>
    <w:rsid w:val="7DAC6B74"/>
    <w:rsid w:val="7DDE1BA2"/>
    <w:rsid w:val="7E0F0992"/>
    <w:rsid w:val="7E265CB7"/>
    <w:rsid w:val="7E2E1169"/>
    <w:rsid w:val="7E2F44D8"/>
    <w:rsid w:val="7E310F9A"/>
    <w:rsid w:val="7E477815"/>
    <w:rsid w:val="7E830842"/>
    <w:rsid w:val="7E992DC3"/>
    <w:rsid w:val="7EBC1535"/>
    <w:rsid w:val="7EE656B2"/>
    <w:rsid w:val="7EE66563"/>
    <w:rsid w:val="7EEB5EE0"/>
    <w:rsid w:val="7F111831"/>
    <w:rsid w:val="7F2375A1"/>
    <w:rsid w:val="7F3A5A66"/>
    <w:rsid w:val="7F5C7AB3"/>
    <w:rsid w:val="7F602C07"/>
    <w:rsid w:val="7FA47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7">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link w:val="30"/>
    <w:qFormat/>
    <w:uiPriority w:val="0"/>
    <w:pPr>
      <w:ind w:left="420"/>
      <w:jc w:val="center"/>
    </w:pPr>
    <w:rPr>
      <w:rFonts w:ascii="Calibri" w:hAnsi="Calibri" w:eastAsia="Calibri" w:cs="黑体"/>
      <w:b/>
      <w:sz w:val="18"/>
      <w:szCs w:val="18"/>
    </w:rPr>
  </w:style>
  <w:style w:type="paragraph" w:styleId="6">
    <w:name w:val="annotation text"/>
    <w:basedOn w:val="1"/>
    <w:link w:val="21"/>
    <w:semiHidden/>
    <w:unhideWhenUsed/>
    <w:qFormat/>
    <w:uiPriority w:val="99"/>
    <w:pPr>
      <w:jc w:val="left"/>
    </w:pPr>
  </w:style>
  <w:style w:type="paragraph" w:styleId="7">
    <w:name w:val="Body Text Indent 2"/>
    <w:basedOn w:val="1"/>
    <w:link w:val="31"/>
    <w:qFormat/>
    <w:uiPriority w:val="0"/>
    <w:pPr>
      <w:spacing w:after="120" w:line="480" w:lineRule="auto"/>
      <w:ind w:left="420" w:leftChars="200"/>
    </w:pPr>
    <w:rPr>
      <w:rFonts w:ascii="Times New Roman" w:hAnsi="Times New Roman" w:eastAsia="宋体" w:cs="Times New Roman"/>
      <w:szCs w:val="24"/>
    </w:rPr>
  </w:style>
  <w:style w:type="paragraph" w:styleId="8">
    <w:name w:val="Balloon Text"/>
    <w:basedOn w:val="1"/>
    <w:link w:val="23"/>
    <w:semiHidden/>
    <w:unhideWhenUsed/>
    <w:qFormat/>
    <w:uiPriority w:val="99"/>
    <w:rPr>
      <w:sz w:val="18"/>
      <w:szCs w:val="18"/>
    </w:rPr>
  </w:style>
  <w:style w:type="paragraph" w:styleId="9">
    <w:name w:val="footer"/>
    <w:basedOn w:val="1"/>
    <w:link w:val="25"/>
    <w:unhideWhenUsed/>
    <w:qFormat/>
    <w:uiPriority w:val="99"/>
    <w:pPr>
      <w:tabs>
        <w:tab w:val="center" w:pos="4153"/>
        <w:tab w:val="right" w:pos="8306"/>
      </w:tabs>
      <w:snapToGrid w:val="0"/>
      <w:jc w:val="left"/>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HTML Preformatted"/>
    <w:basedOn w:val="1"/>
    <w:link w:val="3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annotation subject"/>
    <w:basedOn w:val="6"/>
    <w:next w:val="6"/>
    <w:link w:val="22"/>
    <w:semiHidden/>
    <w:unhideWhenUsed/>
    <w:qFormat/>
    <w:uiPriority w:val="99"/>
    <w:rPr>
      <w:b/>
      <w:bCs/>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6">
    <w:name w:val="Colorful Grid Accent 1"/>
    <w:basedOn w:val="14"/>
    <w:qFormat/>
    <w:uiPriority w:val="73"/>
    <w:rPr>
      <w:rFonts w:eastAsia="Times New Roman"/>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character" w:styleId="18">
    <w:name w:val="Strong"/>
    <w:basedOn w:val="17"/>
    <w:qFormat/>
    <w:uiPriority w:val="22"/>
    <w:rPr>
      <w:b/>
      <w:bCs/>
    </w:rPr>
  </w:style>
  <w:style w:type="character" w:styleId="19">
    <w:name w:val="annotation reference"/>
    <w:basedOn w:val="17"/>
    <w:semiHidden/>
    <w:unhideWhenUsed/>
    <w:qFormat/>
    <w:uiPriority w:val="99"/>
    <w:rPr>
      <w:sz w:val="21"/>
      <w:szCs w:val="21"/>
    </w:rPr>
  </w:style>
  <w:style w:type="paragraph" w:styleId="20">
    <w:name w:val="List Paragraph"/>
    <w:basedOn w:val="1"/>
    <w:qFormat/>
    <w:uiPriority w:val="34"/>
    <w:pPr>
      <w:ind w:firstLine="420" w:firstLineChars="200"/>
    </w:pPr>
  </w:style>
  <w:style w:type="character" w:customStyle="1" w:styleId="21">
    <w:name w:val="批注文字 Char"/>
    <w:basedOn w:val="17"/>
    <w:link w:val="6"/>
    <w:semiHidden/>
    <w:qFormat/>
    <w:uiPriority w:val="99"/>
  </w:style>
  <w:style w:type="character" w:customStyle="1" w:styleId="22">
    <w:name w:val="批注主题 Char"/>
    <w:basedOn w:val="21"/>
    <w:link w:val="13"/>
    <w:semiHidden/>
    <w:qFormat/>
    <w:uiPriority w:val="99"/>
    <w:rPr>
      <w:b/>
      <w:bCs/>
    </w:rPr>
  </w:style>
  <w:style w:type="character" w:customStyle="1" w:styleId="23">
    <w:name w:val="批注框文本 Char"/>
    <w:basedOn w:val="17"/>
    <w:link w:val="8"/>
    <w:semiHidden/>
    <w:qFormat/>
    <w:uiPriority w:val="99"/>
    <w:rPr>
      <w:sz w:val="18"/>
      <w:szCs w:val="18"/>
    </w:rPr>
  </w:style>
  <w:style w:type="character" w:customStyle="1" w:styleId="24">
    <w:name w:val="页眉 Char"/>
    <w:basedOn w:val="17"/>
    <w:link w:val="10"/>
    <w:qFormat/>
    <w:uiPriority w:val="99"/>
    <w:rPr>
      <w:sz w:val="18"/>
      <w:szCs w:val="18"/>
    </w:rPr>
  </w:style>
  <w:style w:type="character" w:customStyle="1" w:styleId="25">
    <w:name w:val="页脚 Char"/>
    <w:basedOn w:val="17"/>
    <w:link w:val="9"/>
    <w:qFormat/>
    <w:uiPriority w:val="99"/>
    <w:rPr>
      <w:sz w:val="18"/>
      <w:szCs w:val="18"/>
    </w:rPr>
  </w:style>
  <w:style w:type="character" w:customStyle="1" w:styleId="26">
    <w:name w:val="标题 3 Char"/>
    <w:basedOn w:val="17"/>
    <w:link w:val="4"/>
    <w:qFormat/>
    <w:uiPriority w:val="9"/>
    <w:rPr>
      <w:rFonts w:ascii="宋体" w:hAnsi="宋体" w:eastAsia="宋体" w:cs="宋体"/>
      <w:b/>
      <w:bCs/>
      <w:sz w:val="27"/>
      <w:szCs w:val="27"/>
    </w:rPr>
  </w:style>
  <w:style w:type="character" w:customStyle="1" w:styleId="27">
    <w:name w:val="标题 1 Char"/>
    <w:basedOn w:val="17"/>
    <w:link w:val="2"/>
    <w:qFormat/>
    <w:uiPriority w:val="9"/>
    <w:rPr>
      <w:rFonts w:asciiTheme="minorHAnsi" w:hAnsiTheme="minorHAnsi" w:eastAsiaTheme="minorEastAsia" w:cstheme="minorBidi"/>
      <w:b/>
      <w:bCs/>
      <w:kern w:val="44"/>
      <w:sz w:val="44"/>
      <w:szCs w:val="44"/>
    </w:rPr>
  </w:style>
  <w:style w:type="paragraph" w:customStyle="1" w:styleId="28">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9">
    <w:name w:val="标题 2 Char"/>
    <w:basedOn w:val="17"/>
    <w:link w:val="3"/>
    <w:semiHidden/>
    <w:qFormat/>
    <w:uiPriority w:val="9"/>
    <w:rPr>
      <w:rFonts w:asciiTheme="majorHAnsi" w:hAnsiTheme="majorHAnsi" w:eastAsiaTheme="majorEastAsia" w:cstheme="majorBidi"/>
      <w:b/>
      <w:bCs/>
      <w:kern w:val="2"/>
      <w:sz w:val="32"/>
      <w:szCs w:val="32"/>
    </w:rPr>
  </w:style>
  <w:style w:type="character" w:customStyle="1" w:styleId="30">
    <w:name w:val="题注 Char"/>
    <w:link w:val="5"/>
    <w:qFormat/>
    <w:uiPriority w:val="0"/>
    <w:rPr>
      <w:rFonts w:ascii="Calibri" w:hAnsi="Calibri" w:eastAsia="Calibri" w:cs="黑体"/>
      <w:b/>
      <w:kern w:val="2"/>
      <w:sz w:val="18"/>
      <w:szCs w:val="18"/>
    </w:rPr>
  </w:style>
  <w:style w:type="character" w:customStyle="1" w:styleId="31">
    <w:name w:val="正文文本缩进 2 Char"/>
    <w:basedOn w:val="17"/>
    <w:link w:val="7"/>
    <w:qFormat/>
    <w:uiPriority w:val="0"/>
    <w:rPr>
      <w:rFonts w:ascii="Times New Roman" w:hAnsi="Times New Roman" w:eastAsia="宋体" w:cs="Times New Roman"/>
      <w:kern w:val="2"/>
      <w:sz w:val="21"/>
      <w:szCs w:val="24"/>
    </w:rPr>
  </w:style>
  <w:style w:type="paragraph" w:customStyle="1" w:styleId="32">
    <w:name w:val="标题4 号码"/>
    <w:qFormat/>
    <w:uiPriority w:val="0"/>
    <w:rPr>
      <w:rFonts w:ascii="Calibri" w:hAnsi="Calibri" w:eastAsia="宋体" w:cs="Times New Roman"/>
      <w:b/>
      <w:bCs/>
      <w:sz w:val="21"/>
      <w:szCs w:val="24"/>
      <w:lang w:val="en-US" w:eastAsia="zh-CN" w:bidi="ar-SA"/>
    </w:rPr>
  </w:style>
  <w:style w:type="character" w:customStyle="1" w:styleId="33">
    <w:name w:val="font41"/>
    <w:basedOn w:val="17"/>
    <w:qFormat/>
    <w:uiPriority w:val="0"/>
    <w:rPr>
      <w:rFonts w:hint="eastAsia" w:ascii="宋体" w:hAnsi="宋体" w:eastAsia="宋体" w:cs="宋体"/>
      <w:b/>
      <w:color w:val="000000"/>
      <w:sz w:val="22"/>
      <w:szCs w:val="22"/>
      <w:u w:val="none"/>
    </w:rPr>
  </w:style>
  <w:style w:type="character" w:customStyle="1" w:styleId="34">
    <w:name w:val="HTML 预设格式 Char"/>
    <w:basedOn w:val="17"/>
    <w:link w:val="11"/>
    <w:qFormat/>
    <w:uiPriority w:val="99"/>
    <w:rPr>
      <w:rFonts w:ascii="宋体" w:hAnsi="宋体" w:eastAsia="宋体" w:cs="宋体"/>
      <w:sz w:val="24"/>
      <w:szCs w:val="24"/>
    </w:rPr>
  </w:style>
  <w:style w:type="paragraph" w:customStyle="1" w:styleId="35">
    <w:name w:val="vsbcontent_start"/>
    <w:basedOn w:val="1"/>
    <w:qFormat/>
    <w:uiPriority w:val="0"/>
    <w:pPr>
      <w:widowControl/>
      <w:jc w:val="left"/>
    </w:pPr>
    <w:rPr>
      <w:rFonts w:ascii="宋体" w:hAnsi="宋体" w:eastAsia="宋体" w:cs="宋体"/>
      <w:kern w:val="0"/>
      <w:sz w:val="24"/>
      <w:szCs w:val="24"/>
    </w:rPr>
  </w:style>
  <w:style w:type="paragraph" w:customStyle="1" w:styleId="3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4A6129-80BB-46BA-A679-2532FFD8D40D}">
  <ds:schemaRefs/>
</ds:datastoreItem>
</file>

<file path=docProps/app.xml><?xml version="1.0" encoding="utf-8"?>
<Properties xmlns="http://schemas.openxmlformats.org/officeDocument/2006/extended-properties" xmlns:vt="http://schemas.openxmlformats.org/officeDocument/2006/docPropsVTypes">
  <Template>Normal.dotm</Template>
  <Company>lsz</Company>
  <Pages>51</Pages>
  <Words>31999</Words>
  <Characters>34462</Characters>
  <Lines>247</Lines>
  <Paragraphs>69</Paragraphs>
  <TotalTime>35</TotalTime>
  <ScaleCrop>false</ScaleCrop>
  <LinksUpToDate>false</LinksUpToDate>
  <CharactersWithSpaces>34650</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2021-04-08T02:37:00Z</dcterms:created>
  <dc:creator>Windows 用户</dc:creator>
  <cp:lastModifiedBy>Administrator</cp:lastModifiedBy>
  <cp:lastPrinted>2020-09-30T01:36:00Z</cp:lastPrinted>
  <dcterms:modified xsi:type="dcterms:W3CDTF">2023-02-23T09:09:37Z</dcterms:modified>
  <cp:revision>214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y fmtid="{D5CDD505-2E9C-101B-9397-08002B2CF9AE}" pid="3" name="ICV">
    <vt:lpwstr>D64DD2741D40469A900A63A258CD7BAC</vt:lpwstr>
  </property>
</Properties>
</file>